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4FAD" w14:textId="1BA7B2B2" w:rsidR="00C0026A" w:rsidRDefault="00C0026A">
      <w:pPr>
        <w:rPr>
          <w:color w:val="FF0000"/>
          <w:sz w:val="18"/>
        </w:rPr>
      </w:pPr>
    </w:p>
    <w:p w14:paraId="0B7F0D24" w14:textId="77777777" w:rsidR="00D160A5" w:rsidRPr="00B552E2" w:rsidRDefault="00D160A5">
      <w:pPr>
        <w:rPr>
          <w:color w:val="FF0000"/>
          <w:sz w:val="18"/>
        </w:rPr>
      </w:pPr>
    </w:p>
    <w:p w14:paraId="5A146B86" w14:textId="0FAC5ED2" w:rsidR="00C0026A" w:rsidRPr="00C57568" w:rsidRDefault="007A672C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Nombre del Miembro: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Member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Name</w:t>
      </w:r>
      <w:proofErr w:type="spellEnd"/>
      <w:r>
        <w:rPr>
          <w:color w:val="FF0000"/>
          <w:sz w:val="24"/>
        </w:rPr>
        <w:t>&gt;</w:t>
      </w:r>
    </w:p>
    <w:p w14:paraId="5C6DDF0D" w14:textId="62BE500A" w:rsidR="00C0026A" w:rsidRPr="00714F5C" w:rsidRDefault="007A672C" w:rsidP="00333F72">
      <w:pPr>
        <w:tabs>
          <w:tab w:val="left" w:pos="0"/>
        </w:tabs>
        <w:rPr>
          <w:sz w:val="24"/>
        </w:rPr>
      </w:pPr>
      <w:r>
        <w:rPr>
          <w:sz w:val="24"/>
        </w:rPr>
        <w:t>N.º de ID de Miembro:</w:t>
      </w:r>
      <w:r>
        <w:rPr>
          <w:color w:val="FF0000"/>
          <w:sz w:val="24"/>
        </w:rPr>
        <w:t xml:space="preserve"> &lt;</w:t>
      </w:r>
      <w:proofErr w:type="spellStart"/>
      <w:r>
        <w:rPr>
          <w:color w:val="FF0000"/>
          <w:sz w:val="24"/>
        </w:rPr>
        <w:t>Member</w:t>
      </w:r>
      <w:proofErr w:type="spellEnd"/>
      <w:r>
        <w:rPr>
          <w:color w:val="FF0000"/>
          <w:sz w:val="24"/>
        </w:rPr>
        <w:t xml:space="preserve"> ID&gt;</w:t>
      </w:r>
    </w:p>
    <w:p w14:paraId="7E12DAB9" w14:textId="509F79C4" w:rsidR="00822CE2" w:rsidRDefault="00C0026A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Nombre del Plan de Salud: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 (HMO D-SNP)</w:t>
      </w:r>
    </w:p>
    <w:p w14:paraId="114276B9" w14:textId="154EE286" w:rsidR="00C0026A" w:rsidRDefault="00C0026A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N.º de Teléfono del Plan de Salud: 1-877-273-IEHP (4347) o, para usuarios de TTY, </w:t>
      </w:r>
      <w:r w:rsidR="002C7150">
        <w:rPr>
          <w:sz w:val="24"/>
        </w:rPr>
        <w:br/>
      </w:r>
      <w:r>
        <w:rPr>
          <w:sz w:val="24"/>
        </w:rPr>
        <w:t>1-800-718-4347</w:t>
      </w:r>
    </w:p>
    <w:p w14:paraId="3DD1577F" w14:textId="5ECEC303" w:rsidR="003637BA" w:rsidRPr="004B6020" w:rsidRDefault="003637BA" w:rsidP="00333F72">
      <w:pPr>
        <w:tabs>
          <w:tab w:val="left" w:pos="0"/>
        </w:tabs>
        <w:rPr>
          <w:sz w:val="24"/>
        </w:rPr>
      </w:pPr>
      <w:r>
        <w:rPr>
          <w:sz w:val="24"/>
        </w:rPr>
        <w:t>Horario de Atención del Plan de Salud: 8am</w:t>
      </w:r>
      <w:r w:rsidR="000C0A24">
        <w:rPr>
          <w:sz w:val="24"/>
        </w:rPr>
        <w:t xml:space="preserve"> a </w:t>
      </w:r>
      <w:r>
        <w:rPr>
          <w:sz w:val="24"/>
        </w:rPr>
        <w:t>8pm (Hora del Pacífico), los 7 días de la semana, incluidos los días festivos</w:t>
      </w:r>
    </w:p>
    <w:p w14:paraId="23167722" w14:textId="229E37C6" w:rsidR="00C0026A" w:rsidRPr="004B6020" w:rsidRDefault="005D3527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Nombre del Médico: </w:t>
      </w:r>
      <w:r>
        <w:rPr>
          <w:color w:val="FF0000"/>
          <w:sz w:val="24"/>
        </w:rPr>
        <w:t>&lt;PCP&gt;</w:t>
      </w:r>
    </w:p>
    <w:p w14:paraId="2FE51E95" w14:textId="2ACE74EF" w:rsidR="00C0026A" w:rsidRPr="004B6020" w:rsidRDefault="00122B6B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Servicio Solicitado: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Service</w:t>
      </w:r>
      <w:proofErr w:type="spellEnd"/>
      <w:r>
        <w:rPr>
          <w:color w:val="FF0000"/>
          <w:sz w:val="24"/>
        </w:rPr>
        <w:t>&gt;</w:t>
      </w:r>
    </w:p>
    <w:p w14:paraId="03D2FBB2" w14:textId="77777777" w:rsidR="00C0026A" w:rsidRPr="004B6020" w:rsidRDefault="00C0026A" w:rsidP="00333F7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Fecha y Hora de la Solicitud Acelerada: </w:t>
      </w:r>
      <w:r>
        <w:rPr>
          <w:color w:val="FF0000"/>
          <w:sz w:val="24"/>
        </w:rPr>
        <w:t>&lt;MM/DD/YYYY; HH:MM&gt;</w:t>
      </w:r>
    </w:p>
    <w:p w14:paraId="59374E04" w14:textId="438EBDD3" w:rsidR="00C0026A" w:rsidRPr="00333F72" w:rsidRDefault="00C0026A" w:rsidP="00333F72">
      <w:pPr>
        <w:tabs>
          <w:tab w:val="left" w:pos="0"/>
        </w:tabs>
        <w:rPr>
          <w:color w:val="FF0000"/>
          <w:sz w:val="28"/>
        </w:rPr>
      </w:pPr>
      <w:r>
        <w:rPr>
          <w:sz w:val="24"/>
        </w:rPr>
        <w:t xml:space="preserve">Nombre del Médico Tratante: </w:t>
      </w:r>
      <w:r>
        <w:rPr>
          <w:color w:val="FF0000"/>
          <w:sz w:val="24"/>
        </w:rPr>
        <w:t>&lt;PCP&gt;</w:t>
      </w:r>
    </w:p>
    <w:p w14:paraId="39B8DDC0" w14:textId="77777777" w:rsidR="00A35B30" w:rsidRPr="00714F5C" w:rsidRDefault="00A35B30" w:rsidP="00122B6B">
      <w:pPr>
        <w:pStyle w:val="Header"/>
        <w:tabs>
          <w:tab w:val="clear" w:pos="4320"/>
          <w:tab w:val="clear" w:pos="8640"/>
          <w:tab w:val="left" w:pos="2880"/>
        </w:tabs>
        <w:rPr>
          <w:sz w:val="28"/>
        </w:rPr>
      </w:pPr>
    </w:p>
    <w:p w14:paraId="041FD09E" w14:textId="77777777" w:rsidR="00C0026A" w:rsidRPr="00714F5C" w:rsidRDefault="00C0026A">
      <w:pPr>
        <w:rPr>
          <w:sz w:val="16"/>
        </w:rPr>
      </w:pPr>
      <w:r>
        <w:rPr>
          <w:sz w:val="24"/>
        </w:rPr>
        <w:t xml:space="preserve">Estimado/a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Member’s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Name</w:t>
      </w:r>
      <w:proofErr w:type="spellEnd"/>
      <w:r>
        <w:rPr>
          <w:color w:val="FF0000"/>
          <w:sz w:val="24"/>
        </w:rPr>
        <w:t>&gt;</w:t>
      </w:r>
      <w:r>
        <w:rPr>
          <w:sz w:val="24"/>
        </w:rPr>
        <w:t>:</w:t>
      </w:r>
    </w:p>
    <w:p w14:paraId="5392E3E9" w14:textId="77777777" w:rsidR="00C0026A" w:rsidRDefault="00C0026A">
      <w:pPr>
        <w:rPr>
          <w:sz w:val="16"/>
        </w:rPr>
      </w:pPr>
    </w:p>
    <w:p w14:paraId="453E496C" w14:textId="48822649" w:rsidR="00C0026A" w:rsidRDefault="00333F72" w:rsidP="00333F72">
      <w:pPr>
        <w:rPr>
          <w:sz w:val="16"/>
        </w:rPr>
      </w:pPr>
      <w:r>
        <w:rPr>
          <w:sz w:val="24"/>
        </w:rPr>
        <w:t>Esperamos que al recibir esta carta se encuentre bien. Le escribimos para responder a su solicitud de determinación acelerada (dentro de las 72 horas del momento en que la presentó) para aprobar los servicios indicados arriba.</w:t>
      </w:r>
    </w:p>
    <w:p w14:paraId="01937DAB" w14:textId="77777777" w:rsidR="00C0026A" w:rsidRDefault="00C0026A" w:rsidP="00333F7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1248BCE6" w14:textId="65EF173E" w:rsidR="00EC7C5C" w:rsidRDefault="00AB5000" w:rsidP="00333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 xml:space="preserve">Lamentamos decirle que su solicitud no cumple con la definición de “determinación acelerada” de los Centros de Servicios de Medicare y Medicaid </w:t>
      </w:r>
      <w:r>
        <w:rPr>
          <w:i/>
          <w:iCs/>
          <w:sz w:val="24"/>
        </w:rPr>
        <w:t xml:space="preserve">(Centers </w:t>
      </w:r>
      <w:proofErr w:type="spellStart"/>
      <w:r>
        <w:rPr>
          <w:i/>
          <w:iCs/>
          <w:sz w:val="24"/>
        </w:rPr>
        <w:t>for</w:t>
      </w:r>
      <w:proofErr w:type="spellEnd"/>
      <w:r>
        <w:rPr>
          <w:i/>
          <w:iCs/>
          <w:sz w:val="24"/>
        </w:rPr>
        <w:t xml:space="preserve"> Medicare &amp; Medicaid </w:t>
      </w:r>
      <w:proofErr w:type="spellStart"/>
      <w:r>
        <w:rPr>
          <w:i/>
          <w:iCs/>
          <w:sz w:val="24"/>
        </w:rPr>
        <w:t>Services</w:t>
      </w:r>
      <w:proofErr w:type="spellEnd"/>
      <w:r>
        <w:rPr>
          <w:i/>
          <w:iCs/>
          <w:sz w:val="24"/>
        </w:rPr>
        <w:t>, CMS)</w:t>
      </w:r>
      <w:r>
        <w:rPr>
          <w:sz w:val="24"/>
        </w:rPr>
        <w:t>. Para obtener una determinación acelerada, deben cumplirse las dos reglas siguientes:</w:t>
      </w:r>
    </w:p>
    <w:p w14:paraId="0B838ABE" w14:textId="77777777" w:rsidR="00383B08" w:rsidRPr="00EC7C5C" w:rsidRDefault="00383B08" w:rsidP="00EC7C5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14:paraId="506E4911" w14:textId="4473C8C4" w:rsidR="005D3527" w:rsidRDefault="005D3527" w:rsidP="0095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Usted no debe haber recibido aún la atención médica o el artículo para el que solicita la cobertura. (No puede obtener una determinación acelerada si su solicitud es sobre el pago de atención médica o de un artículo que usted ya recibió).</w:t>
      </w:r>
    </w:p>
    <w:p w14:paraId="31F5EF8D" w14:textId="0DAB8BED" w:rsidR="005D3527" w:rsidRDefault="009530CE" w:rsidP="00953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</w:rPr>
        <w:t>El plazo estándar de 14 días calendario afectará gravemente su salud o perjudicará su capacidad de funcionar a fin de obtener una determinación acelerada.</w:t>
      </w:r>
    </w:p>
    <w:p w14:paraId="42F3B243" w14:textId="77777777" w:rsidR="005D3527" w:rsidRDefault="005D3527" w:rsidP="005D3527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0A9D78" w14:textId="79931744" w:rsidR="00C0026A" w:rsidRDefault="00C0026A" w:rsidP="00333F72">
      <w:pPr>
        <w:rPr>
          <w:sz w:val="24"/>
        </w:rPr>
      </w:pPr>
      <w:r>
        <w:rPr>
          <w:sz w:val="24"/>
        </w:rPr>
        <w:t xml:space="preserve">Dado que su solicitud no cumple con ninguna de estas dos condiciones, la hemos enviado al proceso de revisión estándar. </w:t>
      </w:r>
    </w:p>
    <w:p w14:paraId="2447B201" w14:textId="77777777" w:rsidR="00C0026A" w:rsidRDefault="00C0026A" w:rsidP="00333F72">
      <w:pPr>
        <w:rPr>
          <w:sz w:val="24"/>
        </w:rPr>
      </w:pPr>
    </w:p>
    <w:p w14:paraId="6D8486AF" w14:textId="7276A4D6" w:rsidR="00C0026A" w:rsidRDefault="009530CE" w:rsidP="00333F72">
      <w:pPr>
        <w:rPr>
          <w:sz w:val="24"/>
        </w:rPr>
      </w:pPr>
      <w:r>
        <w:rPr>
          <w:sz w:val="24"/>
        </w:rPr>
        <w:t xml:space="preserve">Queremos que sepa que haremos todo lo que esté a nuestro alcance para procesar su solicitud lo antes posible, y dentro de los catorce (14) días calendario de la fecha en que recibimos su solicitud. Una vez terminada la revisión, nos aseguraremos de hacérselo saber. </w:t>
      </w:r>
    </w:p>
    <w:p w14:paraId="102FDBDE" w14:textId="77777777" w:rsidR="00C0026A" w:rsidRDefault="00C0026A" w:rsidP="00333F72">
      <w:pPr>
        <w:rPr>
          <w:sz w:val="24"/>
        </w:rPr>
      </w:pPr>
    </w:p>
    <w:p w14:paraId="2A34D38F" w14:textId="04324C59" w:rsidR="00933369" w:rsidRDefault="00C0026A" w:rsidP="00333F72">
      <w:pPr>
        <w:rPr>
          <w:sz w:val="24"/>
        </w:rPr>
      </w:pPr>
      <w:r>
        <w:rPr>
          <w:sz w:val="24"/>
        </w:rPr>
        <w:t xml:space="preserve">Usted tiene derecho a volver a presentar una solicitud de determinación acelerada. Si su Doctor respalda su solicitud de determinación acelerada y el Doctor indica que una espera de catorce (14) días podría afectar gravemente su salud, le concederemos una determinación acelerada.  </w:t>
      </w:r>
    </w:p>
    <w:p w14:paraId="3C4CAE81" w14:textId="77777777" w:rsidR="00C0026A" w:rsidRDefault="00C0026A" w:rsidP="00333F72">
      <w:pPr>
        <w:rPr>
          <w:sz w:val="24"/>
        </w:rPr>
      </w:pPr>
    </w:p>
    <w:p w14:paraId="64CF6A3F" w14:textId="1B070820" w:rsidR="00C0026A" w:rsidRDefault="00C0026A" w:rsidP="00333F72">
      <w:pPr>
        <w:rPr>
          <w:sz w:val="24"/>
        </w:rPr>
      </w:pPr>
      <w:r>
        <w:rPr>
          <w:sz w:val="24"/>
        </w:rPr>
        <w:t xml:space="preserve">Usted también puede presentar una queja acelerada oral o escrita ante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 acerca de nuestra decisión de no acelerar su revisión. El proceso de queja permite que los Miembros presenten una queja ante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 sobre asuntos que no sean reclamaciones ni servicios denegados.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 debe responder a una queja acelerada dentro de las veinticuatro (24) horas. </w:t>
      </w:r>
    </w:p>
    <w:p w14:paraId="042BD57F" w14:textId="77777777" w:rsidR="00C0026A" w:rsidRDefault="00C0026A" w:rsidP="00333F72">
      <w:pPr>
        <w:rPr>
          <w:sz w:val="24"/>
        </w:rPr>
      </w:pPr>
    </w:p>
    <w:p w14:paraId="20AA1E1D" w14:textId="77777777" w:rsidR="00C0026A" w:rsidRDefault="00C0026A" w:rsidP="00333F72">
      <w:pPr>
        <w:rPr>
          <w:sz w:val="24"/>
        </w:rPr>
      </w:pPr>
      <w:r>
        <w:rPr>
          <w:sz w:val="24"/>
        </w:rPr>
        <w:t xml:space="preserve">Para presentar una queja acelerada, usted o su representante autorizado deben llamar o enviar su queja por correo o fax a: </w:t>
      </w:r>
    </w:p>
    <w:p w14:paraId="3952021F" w14:textId="77777777" w:rsidR="00C0026A" w:rsidRDefault="00C0026A" w:rsidP="00333F72">
      <w:pPr>
        <w:rPr>
          <w:sz w:val="24"/>
        </w:rPr>
      </w:pPr>
    </w:p>
    <w:p w14:paraId="1A2832F6" w14:textId="77777777" w:rsidR="00C0026A" w:rsidRDefault="00822CE2" w:rsidP="00333F72">
      <w:pPr>
        <w:rPr>
          <w:b/>
          <w:sz w:val="24"/>
        </w:rPr>
      </w:pPr>
      <w:r>
        <w:rPr>
          <w:b/>
          <w:sz w:val="24"/>
        </w:rPr>
        <w:t xml:space="preserve">IEHP </w:t>
      </w:r>
      <w:proofErr w:type="spellStart"/>
      <w:r>
        <w:rPr>
          <w:b/>
          <w:sz w:val="24"/>
        </w:rPr>
        <w:t>DualChoice</w:t>
      </w:r>
      <w:proofErr w:type="spellEnd"/>
    </w:p>
    <w:p w14:paraId="1337B6BA" w14:textId="77777777" w:rsidR="00B22A5E" w:rsidRPr="00B22A5E" w:rsidRDefault="004A4857" w:rsidP="00333F72">
      <w:pPr>
        <w:rPr>
          <w:b/>
          <w:sz w:val="24"/>
          <w:szCs w:val="24"/>
        </w:rPr>
      </w:pPr>
      <w:r>
        <w:rPr>
          <w:b/>
          <w:sz w:val="24"/>
        </w:rPr>
        <w:t xml:space="preserve">P.O. Box 1800 </w:t>
      </w:r>
    </w:p>
    <w:p w14:paraId="5B69A941" w14:textId="77777777" w:rsidR="00E22A83" w:rsidRDefault="0097467E" w:rsidP="00333F72">
      <w:pPr>
        <w:rPr>
          <w:b/>
          <w:sz w:val="24"/>
          <w:szCs w:val="24"/>
        </w:rPr>
      </w:pPr>
      <w:r>
        <w:rPr>
          <w:b/>
          <w:sz w:val="24"/>
        </w:rPr>
        <w:t xml:space="preserve">Rancho </w:t>
      </w:r>
      <w:proofErr w:type="spellStart"/>
      <w:r>
        <w:rPr>
          <w:b/>
          <w:sz w:val="24"/>
        </w:rPr>
        <w:t>Cucamonga</w:t>
      </w:r>
      <w:proofErr w:type="spellEnd"/>
      <w:r>
        <w:rPr>
          <w:b/>
          <w:sz w:val="24"/>
        </w:rPr>
        <w:t>, CA 91729-1800</w:t>
      </w:r>
    </w:p>
    <w:p w14:paraId="7F8EF87A" w14:textId="62B9FF83" w:rsidR="00C0026A" w:rsidRDefault="00C0026A" w:rsidP="00333F72">
      <w:pPr>
        <w:rPr>
          <w:b/>
          <w:sz w:val="24"/>
        </w:rPr>
      </w:pPr>
      <w:r>
        <w:rPr>
          <w:b/>
          <w:sz w:val="24"/>
        </w:rPr>
        <w:t>Número Gratuito: 1-877-273-IEHP (4347) o para los Usuarios de TTY: 1-800-718-4347</w:t>
      </w:r>
    </w:p>
    <w:p w14:paraId="2ADF66AB" w14:textId="77777777" w:rsidR="00C0026A" w:rsidRDefault="00C0026A" w:rsidP="00333F72">
      <w:pPr>
        <w:rPr>
          <w:b/>
          <w:sz w:val="24"/>
        </w:rPr>
      </w:pPr>
      <w:r>
        <w:rPr>
          <w:b/>
          <w:sz w:val="24"/>
        </w:rPr>
        <w:t xml:space="preserve">Fax: 1-909-890-5748 </w:t>
      </w:r>
    </w:p>
    <w:p w14:paraId="57727BD2" w14:textId="77777777" w:rsidR="00C0026A" w:rsidRDefault="00C0026A" w:rsidP="00333F72">
      <w:pPr>
        <w:rPr>
          <w:sz w:val="24"/>
        </w:rPr>
      </w:pPr>
    </w:p>
    <w:p w14:paraId="5E050EFD" w14:textId="05383D30" w:rsidR="00C0026A" w:rsidRDefault="00C0026A" w:rsidP="00333F72">
      <w:pPr>
        <w:rPr>
          <w:sz w:val="24"/>
        </w:rPr>
      </w:pPr>
      <w:r>
        <w:rPr>
          <w:sz w:val="24"/>
        </w:rPr>
        <w:t xml:space="preserve">Además, tenga en cuenta </w:t>
      </w:r>
      <w:proofErr w:type="gramStart"/>
      <w:r>
        <w:rPr>
          <w:sz w:val="24"/>
        </w:rPr>
        <w:t>que</w:t>
      </w:r>
      <w:proofErr w:type="gramEnd"/>
      <w:r>
        <w:rPr>
          <w:sz w:val="24"/>
        </w:rPr>
        <w:t xml:space="preserve"> aunque usted no tiene la obligación de presentar información adicional a &lt;&lt;IPA&gt;&gt;, es importante que se comunique con ellos si su condición médica cambia o si tiene más información sobre su caso.</w:t>
      </w:r>
    </w:p>
    <w:p w14:paraId="031CE8BD" w14:textId="77777777" w:rsidR="00C0026A" w:rsidRDefault="00C0026A" w:rsidP="00333F72"/>
    <w:p w14:paraId="5F1085A7" w14:textId="5EC0E8DB" w:rsidR="001A4311" w:rsidRDefault="00C0026A" w:rsidP="00AB5000">
      <w:pPr>
        <w:rPr>
          <w:sz w:val="24"/>
        </w:rPr>
      </w:pPr>
      <w:r>
        <w:rPr>
          <w:sz w:val="24"/>
        </w:rPr>
        <w:t>Dirija cualquier pregunta o información adicional a Servicios para Miembros de &lt;&lt;IPA&gt;&gt;</w:t>
      </w:r>
      <w:r>
        <w:rPr>
          <w:i/>
          <w:sz w:val="24"/>
        </w:rPr>
        <w:t xml:space="preserve"> </w:t>
      </w:r>
      <w:r>
        <w:rPr>
          <w:sz w:val="24"/>
        </w:rPr>
        <w:t xml:space="preserve">al </w:t>
      </w:r>
      <w:r>
        <w:rPr>
          <w:b/>
          <w:sz w:val="24"/>
        </w:rPr>
        <w:t xml:space="preserve">&lt;&lt;IPA </w:t>
      </w:r>
      <w:proofErr w:type="spellStart"/>
      <w:r>
        <w:rPr>
          <w:b/>
          <w:sz w:val="24"/>
        </w:rPr>
        <w:t>Phone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Number</w:t>
      </w:r>
      <w:proofErr w:type="spellEnd"/>
      <w:r>
        <w:rPr>
          <w:b/>
          <w:sz w:val="24"/>
        </w:rPr>
        <w:t>&gt;&gt;</w:t>
      </w:r>
      <w:r>
        <w:rPr>
          <w:sz w:val="24"/>
        </w:rPr>
        <w:t xml:space="preserve">, &lt;&lt;IPA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Operation</w:t>
      </w:r>
      <w:proofErr w:type="spellEnd"/>
      <w:r>
        <w:rPr>
          <w:sz w:val="24"/>
        </w:rPr>
        <w:t xml:space="preserve">&gt;&gt;. Los usuarios de TTY deben llamar al </w:t>
      </w:r>
      <w:r>
        <w:rPr>
          <w:b/>
          <w:sz w:val="24"/>
        </w:rPr>
        <w:t xml:space="preserve">&lt;&lt;TTY </w:t>
      </w:r>
      <w:proofErr w:type="spellStart"/>
      <w:r>
        <w:rPr>
          <w:b/>
          <w:sz w:val="24"/>
        </w:rPr>
        <w:t>Number</w:t>
      </w:r>
      <w:proofErr w:type="spellEnd"/>
      <w:r>
        <w:rPr>
          <w:b/>
          <w:sz w:val="24"/>
        </w:rPr>
        <w:t>&gt;&gt;</w:t>
      </w:r>
      <w:r>
        <w:rPr>
          <w:sz w:val="24"/>
        </w:rPr>
        <w:t>.</w:t>
      </w:r>
    </w:p>
    <w:p w14:paraId="390E432F" w14:textId="733441D4" w:rsidR="00D160A5" w:rsidRDefault="00D160A5" w:rsidP="00AB5000">
      <w:pPr>
        <w:rPr>
          <w:sz w:val="24"/>
        </w:rPr>
      </w:pPr>
    </w:p>
    <w:p w14:paraId="36CE6777" w14:textId="3D1C3A1C" w:rsidR="00D160A5" w:rsidRDefault="00D160A5" w:rsidP="00AB5000">
      <w:pPr>
        <w:rPr>
          <w:sz w:val="24"/>
        </w:rPr>
      </w:pPr>
      <w:r>
        <w:rPr>
          <w:sz w:val="24"/>
        </w:rPr>
        <w:t xml:space="preserve">Gracias por ser un/a valioso/a Miembro de &lt;&lt;IPA&gt;&gt; y por confiarnos sus necesidades de atención médica. </w:t>
      </w:r>
    </w:p>
    <w:p w14:paraId="00FE418F" w14:textId="3525B177" w:rsidR="00D160A5" w:rsidRDefault="00D160A5" w:rsidP="00AB5000">
      <w:pPr>
        <w:rPr>
          <w:sz w:val="24"/>
        </w:rPr>
      </w:pPr>
    </w:p>
    <w:p w14:paraId="0215E3A6" w14:textId="31A6F40E" w:rsidR="00D160A5" w:rsidRDefault="00D160A5" w:rsidP="00AB5000">
      <w:pPr>
        <w:rPr>
          <w:sz w:val="24"/>
        </w:rPr>
      </w:pPr>
      <w:r>
        <w:rPr>
          <w:sz w:val="24"/>
        </w:rPr>
        <w:t>Su salud es nuestra prioridad,</w:t>
      </w:r>
    </w:p>
    <w:p w14:paraId="6CED89BC" w14:textId="6FC9EA87" w:rsidR="00D160A5" w:rsidRDefault="00D160A5" w:rsidP="00AB5000">
      <w:pPr>
        <w:rPr>
          <w:sz w:val="24"/>
        </w:rPr>
      </w:pPr>
    </w:p>
    <w:p w14:paraId="3037395A" w14:textId="46F04C70" w:rsidR="00D160A5" w:rsidRDefault="00635B46" w:rsidP="00AB5000">
      <w:pPr>
        <w:rPr>
          <w:sz w:val="24"/>
        </w:rPr>
      </w:pPr>
      <w:r>
        <w:rPr>
          <w:sz w:val="24"/>
        </w:rPr>
        <w:t>&lt;&lt;IPA&gt;&gt;</w:t>
      </w:r>
    </w:p>
    <w:p w14:paraId="7983498D" w14:textId="3CA9B15D" w:rsidR="00D160A5" w:rsidRDefault="00D160A5" w:rsidP="00AB5000">
      <w:pPr>
        <w:rPr>
          <w:sz w:val="24"/>
        </w:rPr>
      </w:pPr>
    </w:p>
    <w:p w14:paraId="55062276" w14:textId="0D245A4F" w:rsidR="00D160A5" w:rsidRPr="00AB5000" w:rsidRDefault="00443CAE" w:rsidP="00AB5000">
      <w:pPr>
        <w:rPr>
          <w:sz w:val="24"/>
        </w:rPr>
      </w:pPr>
      <w:r>
        <w:rPr>
          <w:i/>
          <w:sz w:val="24"/>
        </w:rPr>
        <w:t xml:space="preserve">IEHP </w:t>
      </w:r>
      <w:proofErr w:type="spellStart"/>
      <w:r>
        <w:rPr>
          <w:i/>
          <w:sz w:val="24"/>
        </w:rPr>
        <w:t>DualChoice</w:t>
      </w:r>
      <w:proofErr w:type="spellEnd"/>
      <w:r>
        <w:rPr>
          <w:i/>
          <w:sz w:val="24"/>
        </w:rPr>
        <w:t xml:space="preserve"> (HMO D-SNP) es un plan HMO con un contrato con Medicare. La inscripción en IEHP </w:t>
      </w:r>
      <w:proofErr w:type="spellStart"/>
      <w:r>
        <w:rPr>
          <w:i/>
          <w:sz w:val="24"/>
        </w:rPr>
        <w:t>DualChoice</w:t>
      </w:r>
      <w:proofErr w:type="spellEnd"/>
      <w:r>
        <w:rPr>
          <w:i/>
          <w:sz w:val="24"/>
        </w:rPr>
        <w:t xml:space="preserve"> (HMO D-SNP) depende de la renovación del contrato.</w:t>
      </w:r>
    </w:p>
    <w:sectPr w:rsidR="00D160A5" w:rsidRPr="00AB5000" w:rsidSect="00D160A5">
      <w:footerReference w:type="default" r:id="rId8"/>
      <w:headerReference w:type="first" r:id="rId9"/>
      <w:footerReference w:type="first" r:id="rId10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6E3E" w14:textId="77777777" w:rsidR="00F45787" w:rsidRDefault="00F45787">
      <w:r>
        <w:separator/>
      </w:r>
    </w:p>
  </w:endnote>
  <w:endnote w:type="continuationSeparator" w:id="0">
    <w:p w14:paraId="63901362" w14:textId="77777777" w:rsidR="00F45787" w:rsidRDefault="00F4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CFB" w14:textId="525D4D6A" w:rsidR="00D160A5" w:rsidRDefault="00D160A5" w:rsidP="00825DBD">
    <w:pPr>
      <w:pStyle w:val="Footer"/>
      <w:tabs>
        <w:tab w:val="clear" w:pos="8640"/>
        <w:tab w:val="right" w:pos="9360"/>
      </w:tabs>
    </w:pPr>
    <w:r>
      <w:rPr>
        <w:sz w:val="24"/>
      </w:rPr>
      <w:tab/>
    </w:r>
    <w:r>
      <w:rPr>
        <w:sz w:val="24"/>
      </w:rPr>
      <w:tab/>
      <w:t xml:space="preserve">Página </w:t>
    </w:r>
    <w:r w:rsidRPr="00202640">
      <w:rPr>
        <w:sz w:val="24"/>
      </w:rPr>
      <w:fldChar w:fldCharType="begin"/>
    </w:r>
    <w:r w:rsidRPr="00202640">
      <w:rPr>
        <w:sz w:val="24"/>
      </w:rPr>
      <w:instrText xml:space="preserve"> PAGE  \* Arabic  \* MERGEFORMAT </w:instrText>
    </w:r>
    <w:r w:rsidRPr="00202640">
      <w:rPr>
        <w:sz w:val="24"/>
      </w:rPr>
      <w:fldChar w:fldCharType="separate"/>
    </w:r>
    <w:r>
      <w:rPr>
        <w:sz w:val="24"/>
      </w:rPr>
      <w:t>1</w:t>
    </w:r>
    <w:r w:rsidRPr="00202640">
      <w:rPr>
        <w:sz w:val="24"/>
      </w:rPr>
      <w:fldChar w:fldCharType="end"/>
    </w:r>
    <w:r>
      <w:rPr>
        <w:sz w:val="24"/>
      </w:rPr>
      <w:t xml:space="preserve"> de </w:t>
    </w:r>
    <w:r w:rsidRPr="00202640">
      <w:rPr>
        <w:sz w:val="24"/>
      </w:rPr>
      <w:fldChar w:fldCharType="begin"/>
    </w:r>
    <w:r w:rsidRPr="00202640">
      <w:rPr>
        <w:sz w:val="24"/>
      </w:rPr>
      <w:instrText xml:space="preserve"> NUMPAGES  \* Arabic  \* MERGEFORMAT </w:instrText>
    </w:r>
    <w:r w:rsidRPr="00202640">
      <w:rPr>
        <w:sz w:val="24"/>
      </w:rPr>
      <w:fldChar w:fldCharType="separate"/>
    </w:r>
    <w:r>
      <w:rPr>
        <w:sz w:val="24"/>
      </w:rPr>
      <w:t>2</w:t>
    </w:r>
    <w:r w:rsidRPr="00202640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646" w14:textId="266E303F" w:rsidR="00D160A5" w:rsidRPr="002C7150" w:rsidRDefault="00D160A5" w:rsidP="00D160A5">
    <w:pPr>
      <w:pStyle w:val="Footer"/>
      <w:rPr>
        <w:sz w:val="22"/>
        <w:szCs w:val="22"/>
      </w:rPr>
    </w:pPr>
    <w:r w:rsidRPr="002C7150">
      <w:rPr>
        <w:sz w:val="22"/>
        <w:szCs w:val="22"/>
      </w:rPr>
      <w:t xml:space="preserve">©2022 </w:t>
    </w:r>
    <w:proofErr w:type="spellStart"/>
    <w:r w:rsidRPr="002C7150">
      <w:rPr>
        <w:sz w:val="22"/>
        <w:szCs w:val="22"/>
      </w:rPr>
      <w:t>Inland</w:t>
    </w:r>
    <w:proofErr w:type="spellEnd"/>
    <w:r w:rsidRPr="002C7150">
      <w:rPr>
        <w:sz w:val="22"/>
        <w:szCs w:val="22"/>
      </w:rPr>
      <w:t xml:space="preserve"> </w:t>
    </w:r>
    <w:proofErr w:type="spellStart"/>
    <w:r w:rsidRPr="002C7150">
      <w:rPr>
        <w:sz w:val="22"/>
        <w:szCs w:val="22"/>
      </w:rPr>
      <w:t>Empire</w:t>
    </w:r>
    <w:proofErr w:type="spellEnd"/>
    <w:r w:rsidRPr="002C7150">
      <w:rPr>
        <w:sz w:val="22"/>
        <w:szCs w:val="22"/>
      </w:rPr>
      <w:t xml:space="preserve"> </w:t>
    </w:r>
    <w:proofErr w:type="spellStart"/>
    <w:r w:rsidRPr="002C7150">
      <w:rPr>
        <w:sz w:val="22"/>
        <w:szCs w:val="22"/>
      </w:rPr>
      <w:t>Health</w:t>
    </w:r>
    <w:proofErr w:type="spellEnd"/>
    <w:r w:rsidRPr="002C7150">
      <w:rPr>
        <w:sz w:val="22"/>
        <w:szCs w:val="22"/>
      </w:rPr>
      <w:t xml:space="preserve"> Plan. Todos los derechos reservados. </w:t>
    </w:r>
    <w:bookmarkStart w:id="0" w:name="_Hlk109630852"/>
    <w:r w:rsidRPr="002C7150">
      <w:rPr>
        <w:sz w:val="22"/>
        <w:szCs w:val="22"/>
      </w:rPr>
      <w:t>H8894_DSNP_23_ 3290179_C</w:t>
    </w:r>
    <w:bookmarkEnd w:id="0"/>
    <w:r w:rsidR="002C7150" w:rsidRPr="002C7150">
      <w:rPr>
        <w:sz w:val="22"/>
        <w:szCs w:val="22"/>
      </w:rPr>
      <w:t>_SP</w:t>
    </w:r>
    <w:r w:rsidRPr="002C7150">
      <w:rPr>
        <w:sz w:val="22"/>
        <w:szCs w:val="22"/>
      </w:rPr>
      <w:t xml:space="preserve">   </w:t>
    </w:r>
    <w:r w:rsidRPr="002C7150">
      <w:rPr>
        <w:sz w:val="22"/>
        <w:szCs w:val="22"/>
      </w:rPr>
      <w:tab/>
    </w:r>
    <w:r w:rsidR="002C7150">
      <w:rPr>
        <w:sz w:val="22"/>
        <w:szCs w:val="22"/>
      </w:rPr>
      <w:tab/>
    </w:r>
    <w:r w:rsidR="002C7150">
      <w:rPr>
        <w:sz w:val="22"/>
        <w:szCs w:val="22"/>
      </w:rPr>
      <w:tab/>
    </w:r>
    <w:r w:rsidRPr="002C7150">
      <w:rPr>
        <w:sz w:val="22"/>
        <w:szCs w:val="22"/>
      </w:rPr>
      <w:t xml:space="preserve">Página </w:t>
    </w:r>
    <w:r w:rsidRPr="002C7150">
      <w:rPr>
        <w:sz w:val="22"/>
        <w:szCs w:val="22"/>
      </w:rPr>
      <w:fldChar w:fldCharType="begin"/>
    </w:r>
    <w:r w:rsidRPr="002C7150">
      <w:rPr>
        <w:sz w:val="22"/>
        <w:szCs w:val="22"/>
      </w:rPr>
      <w:instrText xml:space="preserve"> PAGE  \* Arabic  \* MERGEFORMAT </w:instrText>
    </w:r>
    <w:r w:rsidRPr="002C7150">
      <w:rPr>
        <w:sz w:val="22"/>
        <w:szCs w:val="22"/>
      </w:rPr>
      <w:fldChar w:fldCharType="separate"/>
    </w:r>
    <w:r w:rsidRPr="002C7150">
      <w:rPr>
        <w:sz w:val="22"/>
        <w:szCs w:val="22"/>
      </w:rPr>
      <w:t>1</w:t>
    </w:r>
    <w:r w:rsidRPr="002C7150">
      <w:rPr>
        <w:sz w:val="22"/>
        <w:szCs w:val="22"/>
      </w:rPr>
      <w:fldChar w:fldCharType="end"/>
    </w:r>
    <w:r w:rsidRPr="002C7150">
      <w:rPr>
        <w:sz w:val="22"/>
        <w:szCs w:val="22"/>
      </w:rPr>
      <w:t xml:space="preserve"> de </w:t>
    </w:r>
    <w:r w:rsidRPr="002C7150">
      <w:rPr>
        <w:sz w:val="22"/>
        <w:szCs w:val="22"/>
      </w:rPr>
      <w:fldChar w:fldCharType="begin"/>
    </w:r>
    <w:r w:rsidRPr="002C7150">
      <w:rPr>
        <w:sz w:val="22"/>
        <w:szCs w:val="22"/>
      </w:rPr>
      <w:instrText xml:space="preserve"> NUMPAGES  \* Arabic  \* MERGEFORMAT </w:instrText>
    </w:r>
    <w:r w:rsidRPr="002C7150">
      <w:rPr>
        <w:sz w:val="22"/>
        <w:szCs w:val="22"/>
      </w:rPr>
      <w:fldChar w:fldCharType="separate"/>
    </w:r>
    <w:r w:rsidRPr="002C7150">
      <w:rPr>
        <w:sz w:val="22"/>
        <w:szCs w:val="22"/>
      </w:rPr>
      <w:t>1</w:t>
    </w:r>
    <w:r w:rsidRPr="002C7150">
      <w:rPr>
        <w:sz w:val="22"/>
        <w:szCs w:val="22"/>
      </w:rPr>
      <w:fldChar w:fldCharType="end"/>
    </w:r>
  </w:p>
  <w:p w14:paraId="0BC487DA" w14:textId="77777777" w:rsidR="00D160A5" w:rsidRDefault="00D1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52C5" w14:textId="77777777" w:rsidR="00F45787" w:rsidRDefault="00F45787">
      <w:r>
        <w:separator/>
      </w:r>
    </w:p>
  </w:footnote>
  <w:footnote w:type="continuationSeparator" w:id="0">
    <w:p w14:paraId="1EF0DE90" w14:textId="77777777" w:rsidR="00F45787" w:rsidRDefault="00F4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356" w14:textId="0E18DF5B" w:rsidR="00D160A5" w:rsidRPr="00635B46" w:rsidRDefault="00635B46" w:rsidP="00D160A5">
    <w:pPr>
      <w:pStyle w:val="Header"/>
      <w:jc w:val="center"/>
      <w:rPr>
        <w:sz w:val="32"/>
        <w:szCs w:val="32"/>
      </w:rPr>
    </w:pPr>
    <w:r>
      <w:rPr>
        <w:sz w:val="32"/>
      </w:rPr>
      <w:t>&lt;&lt;IPA LOGO&gt;&gt;</w:t>
    </w:r>
  </w:p>
  <w:p w14:paraId="07B17D87" w14:textId="77777777" w:rsidR="00D160A5" w:rsidRDefault="00D160A5" w:rsidP="00D160A5">
    <w:pPr>
      <w:pStyle w:val="Header"/>
      <w:jc w:val="center"/>
    </w:pPr>
  </w:p>
  <w:p w14:paraId="3F294B02" w14:textId="77777777" w:rsidR="00D160A5" w:rsidRDefault="00D160A5" w:rsidP="00D160A5">
    <w:pPr>
      <w:pStyle w:val="Header"/>
      <w:jc w:val="center"/>
    </w:pPr>
  </w:p>
  <w:p w14:paraId="2E2F5096" w14:textId="77777777" w:rsidR="00D160A5" w:rsidRDefault="00D160A5" w:rsidP="00D160A5">
    <w:pPr>
      <w:pStyle w:val="Header"/>
    </w:pPr>
  </w:p>
  <w:p w14:paraId="6833618F" w14:textId="77777777" w:rsidR="00D160A5" w:rsidRPr="00030ED6" w:rsidRDefault="00D160A5" w:rsidP="00D160A5">
    <w:pPr>
      <w:pStyle w:val="Header"/>
      <w:jc w:val="right"/>
      <w:rPr>
        <w:sz w:val="24"/>
        <w:szCs w:val="24"/>
      </w:rPr>
    </w:pPr>
    <w:r>
      <w:rPr>
        <w:sz w:val="24"/>
      </w:rPr>
      <w:t>&lt;&lt;Date&gt;&gt;</w:t>
    </w:r>
  </w:p>
  <w:p w14:paraId="16328757" w14:textId="77777777" w:rsidR="00D160A5" w:rsidRPr="001238A3" w:rsidRDefault="00D160A5" w:rsidP="00D160A5">
    <w:pPr>
      <w:contextualSpacing/>
      <w:rPr>
        <w:rFonts w:ascii="Arial" w:hAnsi="Arial" w:cs="Arial"/>
        <w:sz w:val="28"/>
        <w:szCs w:val="28"/>
      </w:rPr>
    </w:pPr>
  </w:p>
  <w:p w14:paraId="2B7EC6A9" w14:textId="77777777" w:rsidR="00D160A5" w:rsidRPr="00030ED6" w:rsidRDefault="00D160A5" w:rsidP="00D160A5">
    <w:pPr>
      <w:contextualSpacing/>
      <w:rPr>
        <w:sz w:val="24"/>
        <w:szCs w:val="24"/>
      </w:rPr>
    </w:pPr>
  </w:p>
  <w:p w14:paraId="399801C2" w14:textId="77777777" w:rsidR="00D160A5" w:rsidRPr="00030ED6" w:rsidRDefault="00D160A5" w:rsidP="00D160A5">
    <w:pPr>
      <w:contextualSpacing/>
      <w:rPr>
        <w:sz w:val="24"/>
        <w:szCs w:val="24"/>
      </w:rPr>
    </w:pPr>
    <w:r>
      <w:rPr>
        <w:sz w:val="24"/>
      </w:rPr>
      <w:t>&lt;&lt;</w:t>
    </w:r>
    <w:proofErr w:type="spellStart"/>
    <w:r>
      <w:rPr>
        <w:sz w:val="24"/>
      </w:rPr>
      <w:t>Member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Name</w:t>
    </w:r>
    <w:proofErr w:type="spellEnd"/>
    <w:r>
      <w:rPr>
        <w:sz w:val="24"/>
      </w:rPr>
      <w:t>&gt;&gt;</w:t>
    </w:r>
    <w:r>
      <w:rPr>
        <w:sz w:val="24"/>
      </w:rPr>
      <w:tab/>
      <w:t xml:space="preserve">                    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 </w:t>
    </w:r>
    <w:r>
      <w:rPr>
        <w:sz w:val="24"/>
      </w:rPr>
      <w:tab/>
    </w:r>
  </w:p>
  <w:p w14:paraId="17884A71" w14:textId="77777777" w:rsidR="00D160A5" w:rsidRPr="00030ED6" w:rsidRDefault="00D160A5" w:rsidP="00D160A5">
    <w:pPr>
      <w:contextualSpacing/>
      <w:rPr>
        <w:sz w:val="24"/>
        <w:szCs w:val="24"/>
      </w:rPr>
    </w:pPr>
    <w:r>
      <w:rPr>
        <w:sz w:val="24"/>
      </w:rPr>
      <w:t>&lt;&lt;</w:t>
    </w:r>
    <w:proofErr w:type="spellStart"/>
    <w:r>
      <w:rPr>
        <w:sz w:val="24"/>
      </w:rPr>
      <w:t>Address</w:t>
    </w:r>
    <w:proofErr w:type="spellEnd"/>
    <w:r>
      <w:rPr>
        <w:sz w:val="24"/>
      </w:rPr>
      <w:t xml:space="preserve"> Line 1&gt;&gt; &lt;&lt;</w:t>
    </w:r>
    <w:proofErr w:type="spellStart"/>
    <w:r>
      <w:rPr>
        <w:sz w:val="24"/>
      </w:rPr>
      <w:t>Address</w:t>
    </w:r>
    <w:proofErr w:type="spellEnd"/>
    <w:r>
      <w:rPr>
        <w:sz w:val="24"/>
      </w:rPr>
      <w:t xml:space="preserve"> Line 2&gt;&gt;</w:t>
    </w:r>
  </w:p>
  <w:p w14:paraId="0EC38066" w14:textId="7E68F5B9" w:rsidR="00AB5000" w:rsidRPr="00D160A5" w:rsidRDefault="00D160A5" w:rsidP="00D160A5">
    <w:pPr>
      <w:contextualSpacing/>
      <w:rPr>
        <w:sz w:val="24"/>
        <w:szCs w:val="24"/>
      </w:rPr>
    </w:pPr>
    <w:r>
      <w:rPr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000E"/>
    <w:multiLevelType w:val="hybridMultilevel"/>
    <w:tmpl w:val="97B22978"/>
    <w:lvl w:ilvl="0" w:tplc="E062C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6"/>
    <w:rsid w:val="0002160A"/>
    <w:rsid w:val="0009717B"/>
    <w:rsid w:val="000B30AF"/>
    <w:rsid w:val="000C0A24"/>
    <w:rsid w:val="000C5D33"/>
    <w:rsid w:val="000C7E40"/>
    <w:rsid w:val="000D011B"/>
    <w:rsid w:val="000F295D"/>
    <w:rsid w:val="00122B6B"/>
    <w:rsid w:val="00195137"/>
    <w:rsid w:val="00196021"/>
    <w:rsid w:val="001A4311"/>
    <w:rsid w:val="001A695C"/>
    <w:rsid w:val="001F0412"/>
    <w:rsid w:val="001F315F"/>
    <w:rsid w:val="0021028B"/>
    <w:rsid w:val="00267E2D"/>
    <w:rsid w:val="002C7150"/>
    <w:rsid w:val="002D1235"/>
    <w:rsid w:val="002E1223"/>
    <w:rsid w:val="00305E4D"/>
    <w:rsid w:val="00332350"/>
    <w:rsid w:val="00333F72"/>
    <w:rsid w:val="003421F3"/>
    <w:rsid w:val="003637BA"/>
    <w:rsid w:val="00383B08"/>
    <w:rsid w:val="003B05BA"/>
    <w:rsid w:val="003B105A"/>
    <w:rsid w:val="003D0ADB"/>
    <w:rsid w:val="00420E4D"/>
    <w:rsid w:val="00443CAE"/>
    <w:rsid w:val="00460B10"/>
    <w:rsid w:val="00490B04"/>
    <w:rsid w:val="004A4857"/>
    <w:rsid w:val="004B6020"/>
    <w:rsid w:val="004E5081"/>
    <w:rsid w:val="00500E06"/>
    <w:rsid w:val="005B4221"/>
    <w:rsid w:val="005D3527"/>
    <w:rsid w:val="00625605"/>
    <w:rsid w:val="00633A24"/>
    <w:rsid w:val="00635B46"/>
    <w:rsid w:val="00637917"/>
    <w:rsid w:val="00694867"/>
    <w:rsid w:val="006C1BA1"/>
    <w:rsid w:val="006E0198"/>
    <w:rsid w:val="006F0423"/>
    <w:rsid w:val="0070590D"/>
    <w:rsid w:val="00714BAD"/>
    <w:rsid w:val="00714F5C"/>
    <w:rsid w:val="007460C7"/>
    <w:rsid w:val="007838F6"/>
    <w:rsid w:val="007A672C"/>
    <w:rsid w:val="00806D2C"/>
    <w:rsid w:val="00822CE2"/>
    <w:rsid w:val="00825DBD"/>
    <w:rsid w:val="00856150"/>
    <w:rsid w:val="00873FBC"/>
    <w:rsid w:val="008C65B6"/>
    <w:rsid w:val="00905CA8"/>
    <w:rsid w:val="00922418"/>
    <w:rsid w:val="00933369"/>
    <w:rsid w:val="009530CE"/>
    <w:rsid w:val="0097467E"/>
    <w:rsid w:val="009C01ED"/>
    <w:rsid w:val="00A11389"/>
    <w:rsid w:val="00A35B30"/>
    <w:rsid w:val="00A70B6E"/>
    <w:rsid w:val="00A801BA"/>
    <w:rsid w:val="00A82087"/>
    <w:rsid w:val="00A84B35"/>
    <w:rsid w:val="00AB5000"/>
    <w:rsid w:val="00AD6EE3"/>
    <w:rsid w:val="00AF253A"/>
    <w:rsid w:val="00B15E4D"/>
    <w:rsid w:val="00B22A5E"/>
    <w:rsid w:val="00B2642F"/>
    <w:rsid w:val="00B35AC1"/>
    <w:rsid w:val="00B4506E"/>
    <w:rsid w:val="00B552E2"/>
    <w:rsid w:val="00B82B36"/>
    <w:rsid w:val="00BD2431"/>
    <w:rsid w:val="00BE00AC"/>
    <w:rsid w:val="00BF7685"/>
    <w:rsid w:val="00C0026A"/>
    <w:rsid w:val="00C2691F"/>
    <w:rsid w:val="00C57568"/>
    <w:rsid w:val="00C661C8"/>
    <w:rsid w:val="00C674D9"/>
    <w:rsid w:val="00C7581D"/>
    <w:rsid w:val="00CA3F7C"/>
    <w:rsid w:val="00CF1D1A"/>
    <w:rsid w:val="00D160A5"/>
    <w:rsid w:val="00D22CD6"/>
    <w:rsid w:val="00D74B4C"/>
    <w:rsid w:val="00DC522B"/>
    <w:rsid w:val="00DE2FCE"/>
    <w:rsid w:val="00DF5033"/>
    <w:rsid w:val="00E22A83"/>
    <w:rsid w:val="00E374AF"/>
    <w:rsid w:val="00E831A4"/>
    <w:rsid w:val="00E91D63"/>
    <w:rsid w:val="00EA3607"/>
    <w:rsid w:val="00EB6258"/>
    <w:rsid w:val="00EC7C5C"/>
    <w:rsid w:val="00ED16AF"/>
    <w:rsid w:val="00EE5FB0"/>
    <w:rsid w:val="00F00D48"/>
    <w:rsid w:val="00F112FF"/>
    <w:rsid w:val="00F45787"/>
    <w:rsid w:val="00F92B3B"/>
    <w:rsid w:val="00FD38DF"/>
    <w:rsid w:val="00FE129E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77DA5"/>
  <w15:docId w15:val="{2C3A5DBB-ADCB-49A2-B70E-AC7F0A4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B0"/>
  </w:style>
  <w:style w:type="paragraph" w:styleId="Heading1">
    <w:name w:val="heading 1"/>
    <w:basedOn w:val="Normal"/>
    <w:next w:val="Normal"/>
    <w:link w:val="Heading1Char"/>
    <w:uiPriority w:val="9"/>
    <w:qFormat/>
    <w:rsid w:val="00EE5FB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5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F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5FB0"/>
  </w:style>
  <w:style w:type="paragraph" w:styleId="BodyText">
    <w:name w:val="Body Text"/>
    <w:basedOn w:val="Normal"/>
    <w:semiHidden/>
    <w:rsid w:val="00EE5F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24"/>
    </w:rPr>
  </w:style>
  <w:style w:type="character" w:styleId="CommentReference">
    <w:name w:val="annotation reference"/>
    <w:basedOn w:val="DefaultParagraphFont"/>
    <w:semiHidden/>
    <w:rsid w:val="00EE5FB0"/>
    <w:rPr>
      <w:sz w:val="16"/>
    </w:rPr>
  </w:style>
  <w:style w:type="paragraph" w:styleId="CommentText">
    <w:name w:val="annotation text"/>
    <w:basedOn w:val="Normal"/>
    <w:semiHidden/>
    <w:rsid w:val="00EE5FB0"/>
  </w:style>
  <w:style w:type="paragraph" w:styleId="DocumentMap">
    <w:name w:val="Document Map"/>
    <w:basedOn w:val="Normal"/>
    <w:semiHidden/>
    <w:rsid w:val="00EE5FB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C5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A4311"/>
  </w:style>
  <w:style w:type="character" w:customStyle="1" w:styleId="Heading1Char">
    <w:name w:val="Heading 1 Char"/>
    <w:basedOn w:val="DefaultParagraphFont"/>
    <w:link w:val="Heading1"/>
    <w:uiPriority w:val="9"/>
    <w:rsid w:val="001A4311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1A43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A43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31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1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20F995B1-E200-4757-A4B0-3FF1FA3D8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92A4E-0480-47D1-8EED-5DA507D143F0}"/>
</file>

<file path=customXml/itemProps3.xml><?xml version="1.0" encoding="utf-8"?>
<ds:datastoreItem xmlns:ds="http://schemas.openxmlformats.org/officeDocument/2006/customXml" ds:itemID="{1916B28E-A89A-4ED4-8FF5-2ACFBFD9CFE7}"/>
</file>

<file path=customXml/itemProps4.xml><?xml version="1.0" encoding="utf-8"?>
<ds:datastoreItem xmlns:ds="http://schemas.openxmlformats.org/officeDocument/2006/customXml" ds:itemID="{16AD71A8-5C9D-45B6-92CD-6C2DBCC4A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Follow-Up: Initial/Organizationalmor Reconsideration Request</vt:lpstr>
    </vt:vector>
  </TitlesOfParts>
  <Company>Prudential Health Care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Follow-Up: Initial/Organizationalmor Reconsideration Request</dc:title>
  <dc:creator>Prudential</dc:creator>
  <cp:lastModifiedBy>Jessica Gonzalez</cp:lastModifiedBy>
  <cp:revision>2</cp:revision>
  <cp:lastPrinted>2004-02-05T01:45:00Z</cp:lastPrinted>
  <dcterms:created xsi:type="dcterms:W3CDTF">2022-09-26T18:52:00Z</dcterms:created>
  <dcterms:modified xsi:type="dcterms:W3CDTF">2022-09-26T18:52:00Z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