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3FA22" w14:textId="77777777" w:rsidR="00E52CAF" w:rsidRDefault="00E52CAF">
      <w:pPr>
        <w:pStyle w:val="CM4"/>
        <w:spacing w:after="0"/>
        <w:jc w:val="both"/>
        <w:rPr>
          <w:color w:val="000000"/>
        </w:rPr>
      </w:pPr>
    </w:p>
    <w:p w14:paraId="63DFE0F6" w14:textId="77777777" w:rsidR="00E52CAF" w:rsidRDefault="00DD291D">
      <w:pPr>
        <w:pStyle w:val="Date"/>
        <w:rPr>
          <w:sz w:val="24"/>
        </w:rPr>
      </w:pPr>
      <w:r>
        <w:rPr>
          <w:sz w:val="24"/>
        </w:rPr>
        <w:t>[Date]</w:t>
      </w:r>
      <w:r>
        <w:rPr>
          <w:sz w:val="24"/>
        </w:rPr>
        <w:tab/>
      </w:r>
    </w:p>
    <w:p w14:paraId="1EC62BE4" w14:textId="77777777" w:rsidR="00E52CAF" w:rsidRDefault="00DD291D">
      <w:pPr>
        <w:pStyle w:val="Date"/>
        <w:jc w:val="right"/>
        <w:rPr>
          <w:b/>
          <w:sz w:val="24"/>
        </w:rPr>
      </w:pPr>
      <w:r>
        <w:rPr>
          <w:b/>
          <w:sz w:val="24"/>
          <w:u w:val="single"/>
        </w:rPr>
        <w:t>MAILED VIA CERTIFIED MAIL #</w:t>
      </w:r>
    </w:p>
    <w:p w14:paraId="338E7A3C" w14:textId="77777777" w:rsidR="00E52CAF" w:rsidRDefault="00E52CAF"/>
    <w:p w14:paraId="7BF4104F" w14:textId="77777777" w:rsidR="00E52CAF" w:rsidRDefault="00E52CAF"/>
    <w:p w14:paraId="5D228F99" w14:textId="77777777" w:rsidR="00E52CAF" w:rsidRDefault="00E52CAF"/>
    <w:p w14:paraId="11EBC5D0" w14:textId="77777777" w:rsidR="00E52CAF" w:rsidRDefault="00FD1EFD">
      <w:pPr>
        <w:pStyle w:val="InsideAddressName"/>
        <w:tabs>
          <w:tab w:val="left" w:pos="5760"/>
        </w:tabs>
        <w:rPr>
          <w:sz w:val="24"/>
        </w:rPr>
      </w:pPr>
      <w:r>
        <w:rPr>
          <w:sz w:val="24"/>
        </w:rPr>
        <w:fldChar w:fldCharType="begin"/>
      </w:r>
      <w:r w:rsidR="00DD291D">
        <w:rPr>
          <w:sz w:val="24"/>
        </w:rPr>
        <w:instrText xml:space="preserve"> MERGEFIELD Admin_Sur_Name </w:instrText>
      </w:r>
      <w:r>
        <w:rPr>
          <w:sz w:val="24"/>
        </w:rPr>
        <w:fldChar w:fldCharType="separate"/>
      </w:r>
      <w:r w:rsidR="00DD291D">
        <w:rPr>
          <w:noProof/>
          <w:sz w:val="24"/>
        </w:rPr>
        <w:t>«Admin_Sur_Name»</w:t>
      </w:r>
      <w:r>
        <w:rPr>
          <w:sz w:val="24"/>
        </w:rPr>
        <w:fldChar w:fldCharType="end"/>
      </w:r>
      <w:r w:rsidR="00DD291D">
        <w:rPr>
          <w:sz w:val="24"/>
        </w:rPr>
        <w:t xml:space="preserve"> </w:t>
      </w:r>
      <w:r>
        <w:rPr>
          <w:sz w:val="24"/>
        </w:rPr>
        <w:fldChar w:fldCharType="begin"/>
      </w:r>
      <w:r w:rsidR="00DD291D">
        <w:rPr>
          <w:sz w:val="24"/>
        </w:rPr>
        <w:instrText xml:space="preserve"> MERGEFIELD Admin_Name </w:instrText>
      </w:r>
      <w:r>
        <w:rPr>
          <w:sz w:val="24"/>
        </w:rPr>
        <w:fldChar w:fldCharType="separate"/>
      </w:r>
      <w:r w:rsidR="00DD291D">
        <w:rPr>
          <w:noProof/>
          <w:sz w:val="24"/>
        </w:rPr>
        <w:t>«Admin_Name»</w:t>
      </w:r>
      <w:r>
        <w:rPr>
          <w:sz w:val="24"/>
        </w:rPr>
        <w:fldChar w:fldCharType="end"/>
      </w:r>
      <w:r w:rsidR="00DD291D">
        <w:rPr>
          <w:sz w:val="24"/>
        </w:rPr>
        <w:tab/>
      </w:r>
    </w:p>
    <w:p w14:paraId="1D107F40" w14:textId="77777777" w:rsidR="00E52CAF" w:rsidRDefault="00FD1EFD">
      <w:pPr>
        <w:pStyle w:val="InsideAddress"/>
        <w:rPr>
          <w:sz w:val="24"/>
        </w:rPr>
      </w:pPr>
      <w:r>
        <w:rPr>
          <w:sz w:val="24"/>
        </w:rPr>
        <w:fldChar w:fldCharType="begin"/>
      </w:r>
      <w:r w:rsidR="00DD291D">
        <w:rPr>
          <w:sz w:val="24"/>
        </w:rPr>
        <w:instrText xml:space="preserve"> MERGEFIELD Admin_Title </w:instrText>
      </w:r>
      <w:r>
        <w:rPr>
          <w:sz w:val="24"/>
        </w:rPr>
        <w:fldChar w:fldCharType="separate"/>
      </w:r>
      <w:r w:rsidR="00DD291D">
        <w:rPr>
          <w:noProof/>
          <w:sz w:val="24"/>
        </w:rPr>
        <w:t>«Admin_Title»</w:t>
      </w:r>
      <w:r>
        <w:rPr>
          <w:sz w:val="24"/>
        </w:rPr>
        <w:fldChar w:fldCharType="end"/>
      </w:r>
    </w:p>
    <w:p w14:paraId="1CEE870E" w14:textId="77777777" w:rsidR="00E52CAF" w:rsidRDefault="00FD1EFD">
      <w:pPr>
        <w:pStyle w:val="InsideAddress"/>
        <w:rPr>
          <w:sz w:val="24"/>
        </w:rPr>
      </w:pPr>
      <w:r>
        <w:rPr>
          <w:sz w:val="24"/>
        </w:rPr>
        <w:fldChar w:fldCharType="begin"/>
      </w:r>
      <w:r w:rsidR="00DD291D">
        <w:rPr>
          <w:sz w:val="24"/>
        </w:rPr>
        <w:instrText xml:space="preserve"> MERGEFIELD Entity_Name </w:instrText>
      </w:r>
      <w:r>
        <w:rPr>
          <w:sz w:val="24"/>
        </w:rPr>
        <w:fldChar w:fldCharType="separate"/>
      </w:r>
      <w:r w:rsidR="00DD291D">
        <w:rPr>
          <w:noProof/>
          <w:sz w:val="24"/>
        </w:rPr>
        <w:t>«Entity_Name»</w:t>
      </w:r>
      <w:r>
        <w:rPr>
          <w:sz w:val="24"/>
        </w:rPr>
        <w:fldChar w:fldCharType="end"/>
      </w:r>
    </w:p>
    <w:p w14:paraId="05BFDE89" w14:textId="77777777" w:rsidR="00E52CAF" w:rsidRDefault="00FD1EFD">
      <w:pPr>
        <w:pStyle w:val="InsideAddress"/>
        <w:rPr>
          <w:sz w:val="24"/>
        </w:rPr>
      </w:pPr>
      <w:r>
        <w:rPr>
          <w:sz w:val="24"/>
        </w:rPr>
        <w:fldChar w:fldCharType="begin"/>
      </w:r>
      <w:r w:rsidR="00DD291D">
        <w:rPr>
          <w:sz w:val="24"/>
        </w:rPr>
        <w:instrText xml:space="preserve"> MERGEFIELD Admin_AdjAddress </w:instrText>
      </w:r>
      <w:r>
        <w:rPr>
          <w:sz w:val="24"/>
        </w:rPr>
        <w:fldChar w:fldCharType="separate"/>
      </w:r>
      <w:r w:rsidR="00DD291D">
        <w:rPr>
          <w:noProof/>
          <w:sz w:val="24"/>
        </w:rPr>
        <w:t>«Admin_AdjAddress»</w:t>
      </w:r>
      <w:r>
        <w:rPr>
          <w:sz w:val="24"/>
        </w:rPr>
        <w:fldChar w:fldCharType="end"/>
      </w:r>
    </w:p>
    <w:p w14:paraId="2CC8D4F5" w14:textId="77777777" w:rsidR="00E52CAF" w:rsidRDefault="00FD1EFD">
      <w:pPr>
        <w:pStyle w:val="InsideAddress"/>
        <w:rPr>
          <w:sz w:val="24"/>
        </w:rPr>
      </w:pPr>
      <w:r>
        <w:rPr>
          <w:sz w:val="24"/>
        </w:rPr>
        <w:fldChar w:fldCharType="begin"/>
      </w:r>
      <w:r w:rsidR="00DD291D">
        <w:rPr>
          <w:sz w:val="24"/>
        </w:rPr>
        <w:instrText xml:space="preserve"> MERGEFIELD Admin_AdjCity </w:instrText>
      </w:r>
      <w:r>
        <w:rPr>
          <w:sz w:val="24"/>
        </w:rPr>
        <w:fldChar w:fldCharType="separate"/>
      </w:r>
      <w:r w:rsidR="00DD291D">
        <w:rPr>
          <w:noProof/>
          <w:sz w:val="24"/>
        </w:rPr>
        <w:t>«Admin_AdjCity»</w:t>
      </w:r>
      <w:r>
        <w:rPr>
          <w:sz w:val="24"/>
        </w:rPr>
        <w:fldChar w:fldCharType="end"/>
      </w:r>
      <w:r w:rsidR="00DD291D">
        <w:rPr>
          <w:sz w:val="24"/>
        </w:rPr>
        <w:t xml:space="preserve">, CA </w:t>
      </w:r>
      <w:r>
        <w:rPr>
          <w:sz w:val="24"/>
        </w:rPr>
        <w:fldChar w:fldCharType="begin"/>
      </w:r>
      <w:r w:rsidR="00DD291D">
        <w:rPr>
          <w:sz w:val="24"/>
        </w:rPr>
        <w:instrText xml:space="preserve"> MERGEFIELD Admin_AdjZip </w:instrText>
      </w:r>
      <w:r>
        <w:rPr>
          <w:sz w:val="24"/>
        </w:rPr>
        <w:fldChar w:fldCharType="separate"/>
      </w:r>
      <w:r w:rsidR="00DD291D">
        <w:rPr>
          <w:noProof/>
          <w:sz w:val="24"/>
        </w:rPr>
        <w:t>«Admin_AdjZip»</w:t>
      </w:r>
      <w:r>
        <w:rPr>
          <w:sz w:val="24"/>
        </w:rPr>
        <w:fldChar w:fldCharType="end"/>
      </w:r>
    </w:p>
    <w:p w14:paraId="2F9E94C5" w14:textId="77777777" w:rsidR="00E52CAF" w:rsidRDefault="00E52CAF">
      <w:pPr>
        <w:pStyle w:val="InsideAddress"/>
        <w:rPr>
          <w:sz w:val="24"/>
        </w:rPr>
      </w:pPr>
    </w:p>
    <w:p w14:paraId="71BE1444" w14:textId="77777777" w:rsidR="00E52CAF" w:rsidRDefault="00E52CAF">
      <w:pPr>
        <w:pStyle w:val="SubjectLine"/>
        <w:rPr>
          <w:b/>
          <w:sz w:val="24"/>
        </w:rPr>
      </w:pPr>
    </w:p>
    <w:p w14:paraId="241C7894" w14:textId="77777777" w:rsidR="00E52CAF" w:rsidRDefault="00DD291D">
      <w:pPr>
        <w:pStyle w:val="BodyText"/>
        <w:spacing w:after="0"/>
        <w:rPr>
          <w:sz w:val="24"/>
        </w:rPr>
      </w:pPr>
      <w:r>
        <w:rPr>
          <w:sz w:val="24"/>
        </w:rPr>
        <w:t xml:space="preserve">Dear </w:t>
      </w:r>
      <w:r w:rsidR="00FD1EFD">
        <w:rPr>
          <w:sz w:val="24"/>
        </w:rPr>
        <w:fldChar w:fldCharType="begin"/>
      </w:r>
      <w:r>
        <w:rPr>
          <w:sz w:val="24"/>
        </w:rPr>
        <w:instrText xml:space="preserve"> MERGEFIELD Admin_FirstName </w:instrText>
      </w:r>
      <w:r w:rsidR="00FD1EFD">
        <w:rPr>
          <w:sz w:val="24"/>
        </w:rPr>
        <w:fldChar w:fldCharType="separate"/>
      </w:r>
      <w:r>
        <w:rPr>
          <w:noProof/>
          <w:sz w:val="24"/>
        </w:rPr>
        <w:t>«Admin_FirstName»</w:t>
      </w:r>
      <w:r w:rsidR="00FD1EFD">
        <w:rPr>
          <w:sz w:val="24"/>
        </w:rPr>
        <w:fldChar w:fldCharType="end"/>
      </w:r>
      <w:r>
        <w:rPr>
          <w:sz w:val="24"/>
        </w:rPr>
        <w:t>:</w:t>
      </w:r>
    </w:p>
    <w:p w14:paraId="734A939D" w14:textId="77777777" w:rsidR="00E52CAF" w:rsidRDefault="00E52CAF">
      <w:pPr>
        <w:pStyle w:val="BodyText"/>
        <w:spacing w:after="0"/>
        <w:rPr>
          <w:sz w:val="24"/>
        </w:rPr>
      </w:pPr>
    </w:p>
    <w:p w14:paraId="0F0DE3AD" w14:textId="0FFF3E2C" w:rsidR="00E52CAF" w:rsidRDefault="00DD291D">
      <w:pPr>
        <w:pStyle w:val="CM4"/>
        <w:spacing w:line="286" w:lineRule="atLeast"/>
        <w:jc w:val="both"/>
        <w:rPr>
          <w:color w:val="000000"/>
        </w:rPr>
      </w:pPr>
      <w:r>
        <w:rPr>
          <w:color w:val="000000"/>
        </w:rPr>
        <w:t>In accordance with</w:t>
      </w:r>
      <w:r w:rsidR="00483AAD">
        <w:rPr>
          <w:color w:val="000000"/>
        </w:rPr>
        <w:t xml:space="preserve"> Inland Empire Health Plan</w:t>
      </w:r>
      <w:r>
        <w:rPr>
          <w:color w:val="000000"/>
        </w:rPr>
        <w:t xml:space="preserve"> </w:t>
      </w:r>
      <w:r w:rsidR="00483AAD">
        <w:rPr>
          <w:color w:val="000000"/>
        </w:rPr>
        <w:t>(</w:t>
      </w:r>
      <w:r>
        <w:rPr>
          <w:color w:val="000000"/>
        </w:rPr>
        <w:t>IEHP</w:t>
      </w:r>
      <w:r w:rsidR="00483AAD">
        <w:rPr>
          <w:color w:val="000000"/>
        </w:rPr>
        <w:t>)</w:t>
      </w:r>
      <w:r>
        <w:rPr>
          <w:color w:val="000000"/>
        </w:rPr>
        <w:t xml:space="preserve"> Policy 21A “Encounter Data </w:t>
      </w:r>
      <w:r w:rsidR="00B416C1">
        <w:rPr>
          <w:color w:val="000000"/>
        </w:rPr>
        <w:t>Submission Requirements</w:t>
      </w:r>
      <w:r>
        <w:rPr>
          <w:color w:val="000000"/>
        </w:rPr>
        <w:t xml:space="preserve">”, all Providers must meet timeliness, validity, and adequacy requirements for all encounter data submissions to IEHP as follows: </w:t>
      </w:r>
    </w:p>
    <w:p w14:paraId="22E41E38" w14:textId="3FEE2DEA" w:rsidR="00E52CAF" w:rsidRDefault="00DD291D">
      <w:pPr>
        <w:pStyle w:val="Default"/>
        <w:numPr>
          <w:ilvl w:val="0"/>
          <w:numId w:val="2"/>
        </w:numPr>
        <w:spacing w:after="120"/>
        <w:ind w:left="1987" w:hanging="1627"/>
        <w:jc w:val="both"/>
        <w:rPr>
          <w:b/>
          <w:bCs/>
        </w:rPr>
      </w:pPr>
      <w:r>
        <w:rPr>
          <w:b/>
          <w:bCs/>
        </w:rPr>
        <w:t>Timeliness</w:t>
      </w:r>
      <w:r>
        <w:rPr>
          <w:b/>
          <w:bCs/>
        </w:rPr>
        <w:tab/>
      </w:r>
      <w:r w:rsidR="00CC288F">
        <w:t xml:space="preserve">Encounter Data must be received within </w:t>
      </w:r>
      <w:r w:rsidR="002604E8">
        <w:t>three (</w:t>
      </w:r>
      <w:r w:rsidR="00CC288F">
        <w:t>3</w:t>
      </w:r>
      <w:r w:rsidR="002604E8">
        <w:t>)</w:t>
      </w:r>
      <w:r w:rsidR="00CC288F">
        <w:t xml:space="preserve"> months after the month in which services were rendered to the Member</w:t>
      </w:r>
      <w:r w:rsidR="00FD2F91">
        <w:t>.</w:t>
      </w:r>
    </w:p>
    <w:p w14:paraId="246810EE" w14:textId="77777777" w:rsidR="00E52CAF" w:rsidRDefault="00DD291D">
      <w:pPr>
        <w:pStyle w:val="Default"/>
        <w:numPr>
          <w:ilvl w:val="0"/>
          <w:numId w:val="2"/>
        </w:numPr>
        <w:spacing w:after="120"/>
        <w:ind w:left="1987" w:hanging="1627"/>
        <w:jc w:val="both"/>
      </w:pPr>
      <w:r>
        <w:rPr>
          <w:b/>
          <w:bCs/>
        </w:rPr>
        <w:t xml:space="preserve">Validity </w:t>
      </w:r>
      <w:r>
        <w:rPr>
          <w:b/>
          <w:bCs/>
        </w:rPr>
        <w:tab/>
      </w:r>
      <w:r>
        <w:t xml:space="preserve">A compilation of the initial monthly submission and any subsequently corrected data for the same month must be at least </w:t>
      </w:r>
      <w:r w:rsidR="00FD2F91">
        <w:t>95</w:t>
      </w:r>
      <w:r>
        <w:t xml:space="preserve">% valid. </w:t>
      </w:r>
    </w:p>
    <w:p w14:paraId="475E31FC" w14:textId="77777777" w:rsidR="00E52CAF" w:rsidRDefault="00DD291D">
      <w:pPr>
        <w:pStyle w:val="Default"/>
        <w:numPr>
          <w:ilvl w:val="0"/>
          <w:numId w:val="2"/>
        </w:numPr>
        <w:ind w:left="1987" w:hanging="1627"/>
        <w:jc w:val="both"/>
        <w:rPr>
          <w:b/>
          <w:bCs/>
        </w:rPr>
      </w:pPr>
      <w:r>
        <w:rPr>
          <w:b/>
          <w:bCs/>
        </w:rPr>
        <w:t>Adequacy</w:t>
      </w:r>
      <w:r>
        <w:rPr>
          <w:b/>
          <w:bCs/>
        </w:rPr>
        <w:tab/>
      </w:r>
      <w:r>
        <w:t xml:space="preserve">A compilation of the initial monthly submission and any subsequently corrected data for the same month must meet the following adequacy standards: </w:t>
      </w:r>
    </w:p>
    <w:p w14:paraId="03B05AE1" w14:textId="77777777" w:rsidR="00E52CAF" w:rsidRDefault="00E52CAF">
      <w:pPr>
        <w:pStyle w:val="Default"/>
        <w:jc w:val="both"/>
      </w:pPr>
    </w:p>
    <w:p w14:paraId="1F9B2469" w14:textId="5A20D84B" w:rsidR="00E52CAF" w:rsidRDefault="00DD291D">
      <w:pPr>
        <w:pStyle w:val="CM6"/>
        <w:spacing w:after="0"/>
        <w:ind w:left="1923"/>
        <w:jc w:val="both"/>
        <w:rPr>
          <w:color w:val="000000"/>
        </w:rPr>
      </w:pPr>
      <w:r>
        <w:rPr>
          <w:color w:val="000000"/>
        </w:rPr>
        <w:t xml:space="preserve">Medical </w:t>
      </w:r>
      <w:r w:rsidR="00FD2F91">
        <w:rPr>
          <w:color w:val="000000"/>
        </w:rPr>
        <w:t xml:space="preserve">(Non-SPD) </w:t>
      </w:r>
      <w:r>
        <w:rPr>
          <w:color w:val="000000"/>
        </w:rPr>
        <w:t>–IPA: 417 Total Encounters per month per 1000 members.</w:t>
      </w:r>
    </w:p>
    <w:p w14:paraId="1DD08C3D" w14:textId="77777777" w:rsidR="00FD1EFD" w:rsidRDefault="00FD2F91">
      <w:pPr>
        <w:pStyle w:val="Default"/>
      </w:pPr>
      <w:r>
        <w:tab/>
      </w:r>
      <w:r>
        <w:tab/>
        <w:t xml:space="preserve">        Medical (SPD) – IPA: 1084 Total Encounters per month per 1000 members.</w:t>
      </w:r>
    </w:p>
    <w:p w14:paraId="64A0CD8F" w14:textId="77777777" w:rsidR="00E52CAF" w:rsidRDefault="00DD291D">
      <w:pPr>
        <w:pStyle w:val="CM6"/>
        <w:spacing w:after="0"/>
        <w:ind w:left="1923"/>
        <w:jc w:val="both"/>
        <w:rPr>
          <w:color w:val="000000"/>
        </w:rPr>
      </w:pPr>
      <w:r>
        <w:rPr>
          <w:color w:val="000000"/>
        </w:rPr>
        <w:t>Hospital – 14 Inpatient encounters per month per 1000 members.</w:t>
      </w:r>
    </w:p>
    <w:p w14:paraId="07FAD925" w14:textId="77777777" w:rsidR="00E52CAF" w:rsidRDefault="00DD291D">
      <w:pPr>
        <w:pStyle w:val="CM6"/>
        <w:spacing w:after="0"/>
        <w:ind w:left="1923"/>
        <w:jc w:val="both"/>
        <w:rPr>
          <w:color w:val="000000"/>
        </w:rPr>
      </w:pPr>
      <w:r>
        <w:rPr>
          <w:color w:val="000000"/>
        </w:rPr>
        <w:t>Hospital ER – 19 Emergency encounters per month per 1000 members.</w:t>
      </w:r>
    </w:p>
    <w:p w14:paraId="3D690D06" w14:textId="77777777" w:rsidR="00E52CAF" w:rsidRDefault="00E52CAF">
      <w:pPr>
        <w:pStyle w:val="CM6"/>
        <w:spacing w:after="0"/>
        <w:ind w:left="1923"/>
        <w:jc w:val="both"/>
        <w:rPr>
          <w:color w:val="000000"/>
        </w:rPr>
      </w:pPr>
    </w:p>
    <w:p w14:paraId="02257BF2" w14:textId="77777777" w:rsidR="00E52CAF" w:rsidRDefault="00DD291D">
      <w:pPr>
        <w:pStyle w:val="CM4"/>
        <w:spacing w:after="0"/>
        <w:jc w:val="both"/>
      </w:pPr>
      <w:r>
        <w:t xml:space="preserve">Upon review of </w:t>
      </w:r>
      <w:r w:rsidR="00FD1EFD">
        <w:fldChar w:fldCharType="begin"/>
      </w:r>
      <w:r>
        <w:instrText xml:space="preserve"> MERGEFIELD Entity_Name </w:instrText>
      </w:r>
      <w:r w:rsidR="00FD1EFD">
        <w:fldChar w:fldCharType="separate"/>
      </w:r>
      <w:r>
        <w:rPr>
          <w:noProof/>
        </w:rPr>
        <w:t>«Entity_Name»</w:t>
      </w:r>
      <w:r w:rsidR="00FD1EFD">
        <w:fldChar w:fldCharType="end"/>
      </w:r>
      <w:r>
        <w:t xml:space="preserve">’s encounter data submissions due to IEHP </w:t>
      </w:r>
      <w:r w:rsidR="00FD1EFD">
        <w:fldChar w:fldCharType="begin"/>
      </w:r>
      <w:r>
        <w:instrText xml:space="preserve"> MERGEFIELD Entity_Name </w:instrText>
      </w:r>
      <w:r w:rsidR="00FD1EFD">
        <w:fldChar w:fldCharType="separate"/>
      </w:r>
      <w:r>
        <w:rPr>
          <w:noProof/>
        </w:rPr>
        <w:t>«Due_Date»</w:t>
      </w:r>
      <w:r w:rsidR="00FD1EFD">
        <w:fldChar w:fldCharType="end"/>
      </w:r>
      <w:r>
        <w:t xml:space="preserve">, the data failed to meet IEHP requirements in the area(s) noted below: </w:t>
      </w:r>
    </w:p>
    <w:p w14:paraId="7310A171" w14:textId="77777777" w:rsidR="00E52CAF" w:rsidRDefault="00E52CAF">
      <w:pPr>
        <w:pStyle w:val="Default"/>
      </w:pPr>
    </w:p>
    <w:p w14:paraId="600E6489" w14:textId="77777777" w:rsidR="00E52CAF" w:rsidRDefault="00E52CAF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1"/>
        <w:gridCol w:w="2349"/>
        <w:gridCol w:w="2195"/>
        <w:gridCol w:w="2475"/>
      </w:tblGrid>
      <w:tr w:rsidR="00E52CAF" w14:paraId="4FC21B78" w14:textId="77777777">
        <w:tc>
          <w:tcPr>
            <w:tcW w:w="2394" w:type="dxa"/>
            <w:shd w:val="clear" w:color="auto" w:fill="C0C0C0"/>
          </w:tcPr>
          <w:p w14:paraId="2333CFB0" w14:textId="77777777" w:rsidR="00E52CAF" w:rsidRDefault="00DD291D">
            <w:pPr>
              <w:pStyle w:val="Defaul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Standard Not Met</w:t>
            </w:r>
          </w:p>
        </w:tc>
        <w:tc>
          <w:tcPr>
            <w:tcW w:w="2394" w:type="dxa"/>
            <w:shd w:val="clear" w:color="auto" w:fill="C0C0C0"/>
          </w:tcPr>
          <w:p w14:paraId="15B34657" w14:textId="77777777" w:rsidR="00E52CAF" w:rsidRDefault="00DD291D">
            <w:pPr>
              <w:pStyle w:val="Defaul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IEHP Requirement</w:t>
            </w:r>
          </w:p>
        </w:tc>
        <w:tc>
          <w:tcPr>
            <w:tcW w:w="2250" w:type="dxa"/>
            <w:shd w:val="clear" w:color="auto" w:fill="C0C0C0"/>
          </w:tcPr>
          <w:p w14:paraId="199E4250" w14:textId="77777777" w:rsidR="00E52CAF" w:rsidRDefault="00DD291D">
            <w:pPr>
              <w:pStyle w:val="Defaul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Reported</w:t>
            </w:r>
          </w:p>
        </w:tc>
        <w:tc>
          <w:tcPr>
            <w:tcW w:w="2538" w:type="dxa"/>
            <w:shd w:val="clear" w:color="auto" w:fill="C0C0C0"/>
          </w:tcPr>
          <w:p w14:paraId="6762AE35" w14:textId="77777777" w:rsidR="00E52CAF" w:rsidRDefault="00DD291D">
            <w:pPr>
              <w:pStyle w:val="Default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Months Non-Compliant</w:t>
            </w:r>
          </w:p>
        </w:tc>
      </w:tr>
      <w:tr w:rsidR="00E52CAF" w14:paraId="04A8D9F6" w14:textId="77777777">
        <w:tc>
          <w:tcPr>
            <w:tcW w:w="2394" w:type="dxa"/>
          </w:tcPr>
          <w:p w14:paraId="64A499DE" w14:textId="77777777" w:rsidR="00E52CAF" w:rsidRDefault="00E52CAF">
            <w:pPr>
              <w:pStyle w:val="Default"/>
            </w:pPr>
          </w:p>
          <w:p w14:paraId="19AFBA3C" w14:textId="77777777" w:rsidR="00E52CAF" w:rsidRDefault="00E52CAF">
            <w:pPr>
              <w:pStyle w:val="Default"/>
            </w:pPr>
          </w:p>
        </w:tc>
        <w:tc>
          <w:tcPr>
            <w:tcW w:w="2394" w:type="dxa"/>
          </w:tcPr>
          <w:p w14:paraId="05884872" w14:textId="77777777" w:rsidR="00E52CAF" w:rsidRDefault="00E52CAF">
            <w:pPr>
              <w:pStyle w:val="Default"/>
            </w:pPr>
          </w:p>
        </w:tc>
        <w:tc>
          <w:tcPr>
            <w:tcW w:w="2250" w:type="dxa"/>
          </w:tcPr>
          <w:p w14:paraId="584FFD2D" w14:textId="77777777" w:rsidR="00E52CAF" w:rsidRDefault="00E52CAF">
            <w:pPr>
              <w:pStyle w:val="Default"/>
            </w:pPr>
          </w:p>
        </w:tc>
        <w:tc>
          <w:tcPr>
            <w:tcW w:w="2538" w:type="dxa"/>
          </w:tcPr>
          <w:p w14:paraId="0FB0974B" w14:textId="77777777" w:rsidR="00E52CAF" w:rsidRDefault="00E52CAF">
            <w:pPr>
              <w:pStyle w:val="Default"/>
            </w:pPr>
          </w:p>
        </w:tc>
      </w:tr>
    </w:tbl>
    <w:p w14:paraId="5CBE714E" w14:textId="77777777" w:rsidR="00E52CAF" w:rsidRDefault="00E52CAF">
      <w:pPr>
        <w:pStyle w:val="Default"/>
      </w:pPr>
    </w:p>
    <w:p w14:paraId="110DAD5B" w14:textId="77777777" w:rsidR="00E52CAF" w:rsidRDefault="00E52CAF">
      <w:pPr>
        <w:pStyle w:val="Default"/>
      </w:pPr>
    </w:p>
    <w:p w14:paraId="54C044BD" w14:textId="77777777" w:rsidR="00E52CAF" w:rsidRDefault="00DD291D">
      <w:pPr>
        <w:pStyle w:val="CM1"/>
        <w:jc w:val="both"/>
        <w:rPr>
          <w:color w:val="000000"/>
        </w:rPr>
      </w:pPr>
      <w:r>
        <w:rPr>
          <w:color w:val="000000"/>
        </w:rPr>
        <w:t xml:space="preserve">Please understand that because the above standards were not met as indicated and, as outlined in the IEHP Capitated Agreement, </w:t>
      </w:r>
      <w:r w:rsidR="00FD1EFD">
        <w:fldChar w:fldCharType="begin"/>
      </w:r>
      <w:r>
        <w:instrText xml:space="preserve"> MERGEFIELD Entity_Name </w:instrText>
      </w:r>
      <w:r w:rsidR="00FD1EFD">
        <w:fldChar w:fldCharType="separate"/>
      </w:r>
      <w:r>
        <w:rPr>
          <w:noProof/>
        </w:rPr>
        <w:t>«Entity_Name»</w:t>
      </w:r>
      <w:r w:rsidR="00FD1EFD">
        <w:fldChar w:fldCharType="end"/>
      </w:r>
      <w:r>
        <w:t>’s</w:t>
      </w:r>
      <w:r>
        <w:rPr>
          <w:color w:val="000000"/>
        </w:rPr>
        <w:t xml:space="preserve"> capitation will be reduced by </w:t>
      </w:r>
      <w:bookmarkStart w:id="0" w:name="OLE_LINK1"/>
      <w:r w:rsidR="00FD1EFD">
        <w:fldChar w:fldCharType="begin"/>
      </w:r>
      <w:r>
        <w:instrText xml:space="preserve"> MERGEFIELD Entity_Name </w:instrText>
      </w:r>
      <w:r w:rsidR="00FD1EFD">
        <w:fldChar w:fldCharType="separate"/>
      </w:r>
      <w:r>
        <w:rPr>
          <w:noProof/>
        </w:rPr>
        <w:t>«Penalty%»</w:t>
      </w:r>
      <w:r w:rsidR="00FD1EFD">
        <w:fldChar w:fldCharType="end"/>
      </w:r>
      <w:bookmarkEnd w:id="0"/>
      <w:r>
        <w:t xml:space="preserve">. </w:t>
      </w:r>
      <w:r>
        <w:rPr>
          <w:color w:val="000000"/>
        </w:rPr>
        <w:t xml:space="preserve">  Therefore, a </w:t>
      </w:r>
      <w:r w:rsidR="00FD1EFD">
        <w:fldChar w:fldCharType="begin"/>
      </w:r>
      <w:r>
        <w:instrText xml:space="preserve"> MERGEFIELD Entity_Name </w:instrText>
      </w:r>
      <w:r w:rsidR="00FD1EFD">
        <w:fldChar w:fldCharType="separate"/>
      </w:r>
      <w:r>
        <w:rPr>
          <w:noProof/>
        </w:rPr>
        <w:t>«Penalty%»</w:t>
      </w:r>
      <w:r w:rsidR="00FD1EFD">
        <w:fldChar w:fldCharType="end"/>
      </w:r>
      <w:r>
        <w:t xml:space="preserve"> </w:t>
      </w:r>
      <w:r>
        <w:rPr>
          <w:color w:val="000000"/>
        </w:rPr>
        <w:t xml:space="preserve">penalty will be reflected in your </w:t>
      </w:r>
      <w:r w:rsidR="00FD1EFD">
        <w:fldChar w:fldCharType="begin"/>
      </w:r>
      <w:r>
        <w:instrText xml:space="preserve"> MERGEFIELD Entity_Name </w:instrText>
      </w:r>
      <w:r w:rsidR="00FD1EFD">
        <w:fldChar w:fldCharType="separate"/>
      </w:r>
      <w:r>
        <w:rPr>
          <w:noProof/>
        </w:rPr>
        <w:t>«Cap_Check_Date»</w:t>
      </w:r>
      <w:r w:rsidR="00FD1EFD">
        <w:fldChar w:fldCharType="end"/>
      </w:r>
      <w:r>
        <w:rPr>
          <w:color w:val="000000"/>
        </w:rPr>
        <w:t xml:space="preserve"> capitation check. </w:t>
      </w:r>
    </w:p>
    <w:p w14:paraId="6F19E7D7" w14:textId="77777777" w:rsidR="00E52CAF" w:rsidRDefault="00E52CAF">
      <w:pPr>
        <w:pStyle w:val="Default"/>
      </w:pPr>
    </w:p>
    <w:p w14:paraId="4FE0137F" w14:textId="43301029" w:rsidR="00E52CAF" w:rsidRDefault="00DD291D">
      <w:pPr>
        <w:pStyle w:val="CM4"/>
        <w:spacing w:line="293" w:lineRule="atLeast"/>
        <w:jc w:val="both"/>
        <w:rPr>
          <w:color w:val="000000"/>
        </w:rPr>
      </w:pPr>
      <w:r>
        <w:rPr>
          <w:color w:val="000000"/>
        </w:rPr>
        <w:t xml:space="preserve">IEHP's ultimate goal is to receive complete and accurate encounter data in a timely manner.  If you have any questions </w:t>
      </w:r>
      <w:r w:rsidR="00085ADA">
        <w:rPr>
          <w:color w:val="000000"/>
        </w:rPr>
        <w:t xml:space="preserve">or </w:t>
      </w:r>
      <w:r>
        <w:rPr>
          <w:color w:val="000000"/>
        </w:rPr>
        <w:t xml:space="preserve">to avoid future penalties, you may contact the </w:t>
      </w:r>
      <w:r w:rsidR="00D270D3">
        <w:rPr>
          <w:color w:val="000000"/>
        </w:rPr>
        <w:t>IEHP HelpDesk</w:t>
      </w:r>
      <w:r>
        <w:rPr>
          <w:color w:val="000000"/>
        </w:rPr>
        <w:t xml:space="preserve"> at (909) </w:t>
      </w:r>
      <w:r w:rsidR="00D270D3">
        <w:rPr>
          <w:color w:val="000000"/>
        </w:rPr>
        <w:t>890</w:t>
      </w:r>
      <w:r w:rsidR="007B42AB">
        <w:rPr>
          <w:color w:val="000000"/>
        </w:rPr>
        <w:t>-</w:t>
      </w:r>
      <w:r w:rsidR="00D270D3">
        <w:rPr>
          <w:color w:val="000000"/>
        </w:rPr>
        <w:t xml:space="preserve">2025 </w:t>
      </w:r>
      <w:r>
        <w:rPr>
          <w:color w:val="000000"/>
        </w:rPr>
        <w:t xml:space="preserve">for additional support. </w:t>
      </w:r>
    </w:p>
    <w:p w14:paraId="6258DAA8" w14:textId="77777777" w:rsidR="00E52CAF" w:rsidRDefault="00DD291D">
      <w:pPr>
        <w:pStyle w:val="CM1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Sincerely, </w:t>
      </w:r>
    </w:p>
    <w:p w14:paraId="05C951FA" w14:textId="77777777" w:rsidR="00E52CAF" w:rsidRDefault="00E52CAF">
      <w:pPr>
        <w:pStyle w:val="CM5"/>
        <w:spacing w:after="0"/>
        <w:jc w:val="both"/>
        <w:rPr>
          <w:color w:val="000000"/>
        </w:rPr>
      </w:pPr>
    </w:p>
    <w:p w14:paraId="175A895D" w14:textId="77777777" w:rsidR="00E52CAF" w:rsidRDefault="00E52CAF">
      <w:pPr>
        <w:pStyle w:val="Default"/>
      </w:pPr>
    </w:p>
    <w:p w14:paraId="07546857" w14:textId="77777777" w:rsidR="00E52CAF" w:rsidRDefault="00E52CAF">
      <w:pPr>
        <w:pStyle w:val="Default"/>
      </w:pPr>
    </w:p>
    <w:p w14:paraId="4C3383E2" w14:textId="045BB8CF" w:rsidR="00E52CAF" w:rsidRDefault="00DD291D">
      <w:pPr>
        <w:pStyle w:val="CM5"/>
        <w:spacing w:after="0"/>
        <w:jc w:val="both"/>
        <w:rPr>
          <w:color w:val="000000"/>
        </w:rPr>
      </w:pPr>
      <w:r>
        <w:rPr>
          <w:color w:val="000000"/>
        </w:rPr>
        <w:t xml:space="preserve">Director of </w:t>
      </w:r>
      <w:r w:rsidR="00EE07D2">
        <w:rPr>
          <w:color w:val="000000"/>
        </w:rPr>
        <w:t>Encounter and EDI</w:t>
      </w:r>
    </w:p>
    <w:p w14:paraId="6F574A5E" w14:textId="77777777" w:rsidR="00E52CAF" w:rsidRDefault="00E52CAF">
      <w:pPr>
        <w:pStyle w:val="Default"/>
        <w:spacing w:line="306" w:lineRule="atLeast"/>
        <w:ind w:left="423" w:hanging="422"/>
        <w:jc w:val="both"/>
      </w:pPr>
    </w:p>
    <w:p w14:paraId="02CCED1E" w14:textId="77777777" w:rsidR="00E52CAF" w:rsidRDefault="00DD291D">
      <w:pPr>
        <w:pStyle w:val="CcList"/>
        <w:rPr>
          <w:sz w:val="24"/>
        </w:rPr>
      </w:pPr>
      <w:r>
        <w:rPr>
          <w:sz w:val="24"/>
        </w:rPr>
        <w:t>cc:</w:t>
      </w:r>
      <w:r>
        <w:rPr>
          <w:sz w:val="24"/>
        </w:rPr>
        <w:tab/>
      </w:r>
      <w:r w:rsidR="00FD1EFD">
        <w:rPr>
          <w:sz w:val="24"/>
        </w:rPr>
        <w:fldChar w:fldCharType="begin"/>
      </w:r>
      <w:r>
        <w:rPr>
          <w:sz w:val="24"/>
        </w:rPr>
        <w:instrText xml:space="preserve"> MERGEFIELD Encounter_Name </w:instrText>
      </w:r>
      <w:r w:rsidR="00FD1EFD">
        <w:rPr>
          <w:sz w:val="24"/>
        </w:rPr>
        <w:fldChar w:fldCharType="separate"/>
      </w:r>
      <w:r>
        <w:rPr>
          <w:noProof/>
          <w:sz w:val="24"/>
        </w:rPr>
        <w:t>«Encounter_Name»</w:t>
      </w:r>
      <w:r w:rsidR="00FD1EFD">
        <w:rPr>
          <w:sz w:val="24"/>
        </w:rPr>
        <w:fldChar w:fldCharType="end"/>
      </w:r>
      <w:r>
        <w:rPr>
          <w:sz w:val="24"/>
        </w:rPr>
        <w:t xml:space="preserve">, </w:t>
      </w:r>
      <w:r w:rsidR="00FD1EFD">
        <w:rPr>
          <w:sz w:val="24"/>
        </w:rPr>
        <w:fldChar w:fldCharType="begin"/>
      </w:r>
      <w:r>
        <w:rPr>
          <w:sz w:val="24"/>
        </w:rPr>
        <w:instrText xml:space="preserve"> MERGEFIELD Encounter_Title </w:instrText>
      </w:r>
      <w:r w:rsidR="00FD1EFD">
        <w:rPr>
          <w:sz w:val="24"/>
        </w:rPr>
        <w:fldChar w:fldCharType="separate"/>
      </w:r>
      <w:r>
        <w:rPr>
          <w:noProof/>
          <w:sz w:val="24"/>
        </w:rPr>
        <w:t>«Encounter_Title»</w:t>
      </w:r>
      <w:r w:rsidR="00FD1EFD">
        <w:rPr>
          <w:sz w:val="24"/>
        </w:rPr>
        <w:fldChar w:fldCharType="end"/>
      </w:r>
    </w:p>
    <w:p w14:paraId="0AB139D8" w14:textId="77777777" w:rsidR="00E52CAF" w:rsidRDefault="00DD291D">
      <w:pPr>
        <w:pStyle w:val="CcList"/>
        <w:rPr>
          <w:sz w:val="24"/>
        </w:rPr>
      </w:pPr>
      <w:r>
        <w:rPr>
          <w:sz w:val="24"/>
        </w:rPr>
        <w:tab/>
      </w:r>
      <w:r w:rsidR="00FD1EFD">
        <w:rPr>
          <w:sz w:val="24"/>
        </w:rPr>
        <w:fldChar w:fldCharType="begin"/>
      </w:r>
      <w:r>
        <w:rPr>
          <w:sz w:val="24"/>
        </w:rPr>
        <w:instrText xml:space="preserve"> MERGEFIELD Claims_Manager </w:instrText>
      </w:r>
      <w:r w:rsidR="00FD1EFD">
        <w:rPr>
          <w:sz w:val="24"/>
        </w:rPr>
        <w:fldChar w:fldCharType="separate"/>
      </w:r>
      <w:r>
        <w:rPr>
          <w:noProof/>
          <w:sz w:val="24"/>
        </w:rPr>
        <w:t>«Claims_Manager»</w:t>
      </w:r>
      <w:r w:rsidR="00FD1EFD">
        <w:rPr>
          <w:sz w:val="24"/>
        </w:rPr>
        <w:fldChar w:fldCharType="end"/>
      </w:r>
    </w:p>
    <w:p w14:paraId="4C04D1D0" w14:textId="77777777" w:rsidR="00E52CAF" w:rsidRDefault="00DD291D">
      <w:pPr>
        <w:pStyle w:val="CcList"/>
        <w:rPr>
          <w:sz w:val="24"/>
        </w:rPr>
      </w:pPr>
      <w:r>
        <w:rPr>
          <w:sz w:val="24"/>
        </w:rPr>
        <w:tab/>
      </w:r>
      <w:r w:rsidR="00FD1EFD">
        <w:rPr>
          <w:sz w:val="24"/>
        </w:rPr>
        <w:fldChar w:fldCharType="begin"/>
      </w:r>
      <w:r>
        <w:rPr>
          <w:sz w:val="24"/>
        </w:rPr>
        <w:instrText xml:space="preserve"> MERGEFIELD CC_Encounter </w:instrText>
      </w:r>
      <w:r w:rsidR="00FD1EFD">
        <w:rPr>
          <w:sz w:val="24"/>
        </w:rPr>
        <w:fldChar w:fldCharType="separate"/>
      </w:r>
      <w:r>
        <w:rPr>
          <w:noProof/>
          <w:sz w:val="24"/>
        </w:rPr>
        <w:t>«CC_Encounter»</w:t>
      </w:r>
      <w:r w:rsidR="00FD1EFD">
        <w:rPr>
          <w:sz w:val="24"/>
        </w:rPr>
        <w:fldChar w:fldCharType="end"/>
      </w:r>
    </w:p>
    <w:p w14:paraId="6FF1E7D3" w14:textId="77777777" w:rsidR="00E52CAF" w:rsidRDefault="00DD291D">
      <w:pPr>
        <w:pStyle w:val="CcList"/>
        <w:rPr>
          <w:sz w:val="24"/>
        </w:rPr>
      </w:pPr>
      <w:r>
        <w:rPr>
          <w:sz w:val="24"/>
        </w:rPr>
        <w:tab/>
      </w:r>
      <w:r w:rsidR="00FD1EFD">
        <w:rPr>
          <w:sz w:val="24"/>
        </w:rPr>
        <w:fldChar w:fldCharType="begin"/>
      </w:r>
      <w:r>
        <w:rPr>
          <w:sz w:val="24"/>
        </w:rPr>
        <w:instrText xml:space="preserve"> MERGEFIELD PSR_Name </w:instrText>
      </w:r>
      <w:r w:rsidR="00FD1EFD">
        <w:rPr>
          <w:sz w:val="24"/>
        </w:rPr>
        <w:fldChar w:fldCharType="separate"/>
      </w:r>
      <w:r>
        <w:rPr>
          <w:noProof/>
          <w:sz w:val="24"/>
        </w:rPr>
        <w:t>«PSR_Name»</w:t>
      </w:r>
      <w:r w:rsidR="00FD1EFD">
        <w:rPr>
          <w:sz w:val="24"/>
        </w:rPr>
        <w:fldChar w:fldCharType="end"/>
      </w:r>
      <w:r>
        <w:rPr>
          <w:sz w:val="24"/>
        </w:rPr>
        <w:t xml:space="preserve">, </w:t>
      </w:r>
      <w:r w:rsidR="00FD1EFD">
        <w:rPr>
          <w:sz w:val="24"/>
        </w:rPr>
        <w:fldChar w:fldCharType="begin"/>
      </w:r>
      <w:r>
        <w:rPr>
          <w:sz w:val="24"/>
        </w:rPr>
        <w:instrText xml:space="preserve"> MERGEFIELD PSR_Title </w:instrText>
      </w:r>
      <w:r w:rsidR="00FD1EFD">
        <w:rPr>
          <w:sz w:val="24"/>
        </w:rPr>
        <w:fldChar w:fldCharType="separate"/>
      </w:r>
      <w:r>
        <w:rPr>
          <w:noProof/>
          <w:sz w:val="24"/>
        </w:rPr>
        <w:t>«PSR_Title»</w:t>
      </w:r>
      <w:r w:rsidR="00FD1EFD">
        <w:rPr>
          <w:sz w:val="24"/>
        </w:rPr>
        <w:fldChar w:fldCharType="end"/>
      </w:r>
    </w:p>
    <w:p w14:paraId="2E578150" w14:textId="04BFB271" w:rsidR="00E52CAF" w:rsidRDefault="00DD291D">
      <w:pPr>
        <w:pStyle w:val="CcList"/>
        <w:rPr>
          <w:sz w:val="24"/>
        </w:rPr>
      </w:pPr>
      <w:r>
        <w:rPr>
          <w:sz w:val="24"/>
        </w:rPr>
        <w:tab/>
        <w:t xml:space="preserve">IEHP Chief </w:t>
      </w:r>
      <w:r w:rsidR="008C4620">
        <w:rPr>
          <w:sz w:val="24"/>
        </w:rPr>
        <w:t xml:space="preserve">Operating </w:t>
      </w:r>
      <w:r>
        <w:rPr>
          <w:sz w:val="24"/>
        </w:rPr>
        <w:t xml:space="preserve">Officer, </w:t>
      </w:r>
      <w:r w:rsidR="00FD1EFD">
        <w:rPr>
          <w:sz w:val="24"/>
        </w:rPr>
        <w:fldChar w:fldCharType="begin"/>
      </w:r>
      <w:r>
        <w:rPr>
          <w:sz w:val="24"/>
        </w:rPr>
        <w:instrText xml:space="preserve"> MERGEFIELD File_Code </w:instrText>
      </w:r>
      <w:r w:rsidR="00FD1EFD">
        <w:rPr>
          <w:sz w:val="24"/>
        </w:rPr>
        <w:fldChar w:fldCharType="separate"/>
      </w:r>
      <w:r>
        <w:rPr>
          <w:noProof/>
          <w:sz w:val="24"/>
        </w:rPr>
        <w:t>«File_Code»</w:t>
      </w:r>
      <w:r w:rsidR="00FD1EFD">
        <w:rPr>
          <w:sz w:val="24"/>
        </w:rPr>
        <w:fldChar w:fldCharType="end"/>
      </w:r>
    </w:p>
    <w:p w14:paraId="6E08B70C" w14:textId="2D0A381D" w:rsidR="00E52CAF" w:rsidRDefault="00DD291D">
      <w:pPr>
        <w:pStyle w:val="Default"/>
        <w:spacing w:line="306" w:lineRule="atLeast"/>
        <w:ind w:left="423" w:firstLine="297"/>
        <w:jc w:val="both"/>
      </w:pPr>
      <w:r>
        <w:t xml:space="preserve">IEHP </w:t>
      </w:r>
      <w:r w:rsidR="00DF16DC">
        <w:t>Vice President</w:t>
      </w:r>
      <w:r>
        <w:t xml:space="preserve">, </w:t>
      </w:r>
      <w:r w:rsidR="00636DB8">
        <w:t xml:space="preserve">Quality </w:t>
      </w:r>
    </w:p>
    <w:p w14:paraId="662ED825" w14:textId="115FC7D3" w:rsidR="00EE07D2" w:rsidRDefault="00EE07D2" w:rsidP="00EE07D2">
      <w:pPr>
        <w:pStyle w:val="Default"/>
        <w:spacing w:line="306" w:lineRule="atLeast"/>
        <w:ind w:left="423" w:firstLine="297"/>
        <w:jc w:val="both"/>
      </w:pPr>
      <w:r>
        <w:t>IEHP Director, Advanced Technology</w:t>
      </w:r>
    </w:p>
    <w:p w14:paraId="7B61B7A6" w14:textId="7C178666" w:rsidR="00E52CAF" w:rsidRDefault="00DD291D">
      <w:pPr>
        <w:pStyle w:val="Default"/>
        <w:spacing w:line="306" w:lineRule="atLeast"/>
        <w:ind w:left="423" w:firstLine="297"/>
        <w:jc w:val="both"/>
      </w:pPr>
      <w:r>
        <w:t xml:space="preserve">IEHP </w:t>
      </w:r>
      <w:r w:rsidR="00636DB8">
        <w:t>Director</w:t>
      </w:r>
      <w:r>
        <w:t>, Health</w:t>
      </w:r>
      <w:r w:rsidR="00DF16DC">
        <w:t>c</w:t>
      </w:r>
      <w:r>
        <w:t xml:space="preserve">are </w:t>
      </w:r>
      <w:r w:rsidR="00085ADA">
        <w:t>Informatics</w:t>
      </w:r>
    </w:p>
    <w:p w14:paraId="6ECF5FA0" w14:textId="77777777" w:rsidR="00E52CAF" w:rsidRDefault="00E52CAF">
      <w:pPr>
        <w:pStyle w:val="Default"/>
        <w:spacing w:line="306" w:lineRule="atLeast"/>
        <w:ind w:left="423" w:firstLine="297"/>
        <w:jc w:val="both"/>
      </w:pPr>
    </w:p>
    <w:p w14:paraId="249474F0" w14:textId="77777777" w:rsidR="00E52CAF" w:rsidRDefault="00E52CAF">
      <w:pPr>
        <w:pStyle w:val="Default"/>
        <w:spacing w:line="306" w:lineRule="atLeast"/>
        <w:ind w:left="423"/>
        <w:jc w:val="both"/>
      </w:pPr>
    </w:p>
    <w:sectPr w:rsidR="00E52CAF" w:rsidSect="00E52CAF">
      <w:head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ACEAD" w14:textId="77777777" w:rsidR="00E52CAF" w:rsidRDefault="00DD291D">
      <w:r>
        <w:separator/>
      </w:r>
    </w:p>
  </w:endnote>
  <w:endnote w:type="continuationSeparator" w:id="0">
    <w:p w14:paraId="60EDDC76" w14:textId="77777777" w:rsidR="00E52CAF" w:rsidRDefault="00DD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65776" w14:textId="77777777" w:rsidR="00E52CAF" w:rsidRDefault="00DD291D">
      <w:r>
        <w:separator/>
      </w:r>
    </w:p>
  </w:footnote>
  <w:footnote w:type="continuationSeparator" w:id="0">
    <w:p w14:paraId="2A982E05" w14:textId="77777777" w:rsidR="00E52CAF" w:rsidRDefault="00DD2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C887E" w14:textId="77777777" w:rsidR="000C53CD" w:rsidRPr="000C53CD" w:rsidRDefault="00DD291D" w:rsidP="000A581C">
    <w:pPr>
      <w:pStyle w:val="Header"/>
      <w:jc w:val="right"/>
      <w:rPr>
        <w:sz w:val="20"/>
        <w:szCs w:val="20"/>
      </w:rPr>
    </w:pPr>
    <w:r w:rsidRPr="000C53CD">
      <w:rPr>
        <w:sz w:val="20"/>
        <w:szCs w:val="20"/>
      </w:rPr>
      <w:t xml:space="preserve">Attachment </w:t>
    </w:r>
    <w:r w:rsidR="00D270D3">
      <w:rPr>
        <w:sz w:val="20"/>
        <w:szCs w:val="20"/>
      </w:rPr>
      <w:t xml:space="preserve">21 </w:t>
    </w:r>
    <w:r w:rsidR="006078DA">
      <w:rPr>
        <w:sz w:val="20"/>
        <w:szCs w:val="20"/>
      </w:rPr>
      <w:t>-</w:t>
    </w:r>
    <w:r w:rsidR="000A581C">
      <w:rPr>
        <w:sz w:val="20"/>
        <w:szCs w:val="20"/>
      </w:rPr>
      <w:t xml:space="preserve"> </w:t>
    </w:r>
    <w:r w:rsidR="000C53CD" w:rsidRPr="000C53CD">
      <w:rPr>
        <w:sz w:val="20"/>
        <w:szCs w:val="20"/>
      </w:rPr>
      <w:t>Encounter Data Penalty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44AA6"/>
    <w:multiLevelType w:val="hybridMultilevel"/>
    <w:tmpl w:val="2EBC3E3C"/>
    <w:lvl w:ilvl="0" w:tplc="A51EF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" w15:restartNumberingAfterBreak="0">
    <w:nsid w:val="2B996DF4"/>
    <w:multiLevelType w:val="hybridMultilevel"/>
    <w:tmpl w:val="B6D9B50F"/>
    <w:lvl w:ilvl="0" w:tplc="FFFFFFFF">
      <w:start w:val="1"/>
      <w:numFmt w:val="lowerLetter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91D"/>
    <w:rsid w:val="00085ADA"/>
    <w:rsid w:val="000A581C"/>
    <w:rsid w:val="000C53CD"/>
    <w:rsid w:val="000D44C2"/>
    <w:rsid w:val="000F6D7D"/>
    <w:rsid w:val="00102C59"/>
    <w:rsid w:val="001200E0"/>
    <w:rsid w:val="002604E8"/>
    <w:rsid w:val="00287780"/>
    <w:rsid w:val="00291F87"/>
    <w:rsid w:val="002922BC"/>
    <w:rsid w:val="002C2363"/>
    <w:rsid w:val="00321397"/>
    <w:rsid w:val="003919AA"/>
    <w:rsid w:val="003D7432"/>
    <w:rsid w:val="00402FA3"/>
    <w:rsid w:val="00456ACE"/>
    <w:rsid w:val="00480AAB"/>
    <w:rsid w:val="00483AAD"/>
    <w:rsid w:val="004D0609"/>
    <w:rsid w:val="004D6532"/>
    <w:rsid w:val="004E6C6D"/>
    <w:rsid w:val="005357BA"/>
    <w:rsid w:val="00566C46"/>
    <w:rsid w:val="005D5791"/>
    <w:rsid w:val="006078DA"/>
    <w:rsid w:val="00615DD3"/>
    <w:rsid w:val="00636253"/>
    <w:rsid w:val="00636DB8"/>
    <w:rsid w:val="006724CE"/>
    <w:rsid w:val="007160C9"/>
    <w:rsid w:val="00723862"/>
    <w:rsid w:val="00753610"/>
    <w:rsid w:val="00770243"/>
    <w:rsid w:val="007B42AB"/>
    <w:rsid w:val="007E0D01"/>
    <w:rsid w:val="008B6E84"/>
    <w:rsid w:val="008C4620"/>
    <w:rsid w:val="008D4659"/>
    <w:rsid w:val="009843D3"/>
    <w:rsid w:val="009931BE"/>
    <w:rsid w:val="00A0190F"/>
    <w:rsid w:val="00A53562"/>
    <w:rsid w:val="00A65D12"/>
    <w:rsid w:val="00A76081"/>
    <w:rsid w:val="00AF016E"/>
    <w:rsid w:val="00B407FF"/>
    <w:rsid w:val="00B416C1"/>
    <w:rsid w:val="00B55967"/>
    <w:rsid w:val="00B73215"/>
    <w:rsid w:val="00C321E7"/>
    <w:rsid w:val="00C8128A"/>
    <w:rsid w:val="00C91A57"/>
    <w:rsid w:val="00C940E6"/>
    <w:rsid w:val="00CC288F"/>
    <w:rsid w:val="00D270D3"/>
    <w:rsid w:val="00DB4C94"/>
    <w:rsid w:val="00DD291D"/>
    <w:rsid w:val="00DF16DC"/>
    <w:rsid w:val="00E031E0"/>
    <w:rsid w:val="00E44AC5"/>
    <w:rsid w:val="00E52CAF"/>
    <w:rsid w:val="00EE07D2"/>
    <w:rsid w:val="00F61EDA"/>
    <w:rsid w:val="00F7667C"/>
    <w:rsid w:val="00F86712"/>
    <w:rsid w:val="00FC5FF7"/>
    <w:rsid w:val="00FD1EFD"/>
    <w:rsid w:val="00FD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12F80F38"/>
  <w15:docId w15:val="{B5C13DDC-31C7-4362-949E-087A30C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2C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2CAF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E52CAF"/>
    <w:pPr>
      <w:spacing w:line="293" w:lineRule="atLeast"/>
    </w:pPr>
    <w:rPr>
      <w:color w:val="auto"/>
    </w:rPr>
  </w:style>
  <w:style w:type="paragraph" w:customStyle="1" w:styleId="CM4">
    <w:name w:val="CM4"/>
    <w:basedOn w:val="Default"/>
    <w:next w:val="Default"/>
    <w:rsid w:val="00E52CAF"/>
    <w:pPr>
      <w:spacing w:after="365"/>
    </w:pPr>
    <w:rPr>
      <w:color w:val="auto"/>
    </w:rPr>
  </w:style>
  <w:style w:type="paragraph" w:customStyle="1" w:styleId="CM5">
    <w:name w:val="CM5"/>
    <w:basedOn w:val="Default"/>
    <w:next w:val="Default"/>
    <w:rsid w:val="00E52CAF"/>
    <w:pPr>
      <w:spacing w:after="250"/>
    </w:pPr>
    <w:rPr>
      <w:color w:val="auto"/>
    </w:rPr>
  </w:style>
  <w:style w:type="paragraph" w:customStyle="1" w:styleId="CM6">
    <w:name w:val="CM6"/>
    <w:basedOn w:val="Default"/>
    <w:next w:val="Default"/>
    <w:rsid w:val="00E52CAF"/>
    <w:pPr>
      <w:spacing w:after="130"/>
    </w:pPr>
    <w:rPr>
      <w:color w:val="auto"/>
    </w:rPr>
  </w:style>
  <w:style w:type="paragraph" w:customStyle="1" w:styleId="CM2">
    <w:name w:val="CM2"/>
    <w:basedOn w:val="Default"/>
    <w:next w:val="Default"/>
    <w:rsid w:val="00E52CAF"/>
    <w:pPr>
      <w:spacing w:line="286" w:lineRule="atLeast"/>
    </w:pPr>
    <w:rPr>
      <w:color w:val="auto"/>
    </w:rPr>
  </w:style>
  <w:style w:type="paragraph" w:styleId="Date">
    <w:name w:val="Date"/>
    <w:basedOn w:val="Normal"/>
    <w:next w:val="Normal"/>
    <w:semiHidden/>
    <w:rsid w:val="00E52CAF"/>
    <w:rPr>
      <w:sz w:val="20"/>
      <w:szCs w:val="20"/>
    </w:rPr>
  </w:style>
  <w:style w:type="paragraph" w:customStyle="1" w:styleId="InsideAddressName">
    <w:name w:val="Inside Address Name"/>
    <w:basedOn w:val="Normal"/>
    <w:rsid w:val="00E52CAF"/>
    <w:rPr>
      <w:sz w:val="20"/>
      <w:szCs w:val="20"/>
    </w:rPr>
  </w:style>
  <w:style w:type="paragraph" w:customStyle="1" w:styleId="InsideAddress">
    <w:name w:val="Inside Address"/>
    <w:basedOn w:val="Normal"/>
    <w:rsid w:val="00E52CAF"/>
    <w:rPr>
      <w:sz w:val="20"/>
      <w:szCs w:val="20"/>
    </w:rPr>
  </w:style>
  <w:style w:type="paragraph" w:customStyle="1" w:styleId="SubjectLine">
    <w:name w:val="Subject Line"/>
    <w:basedOn w:val="Normal"/>
    <w:rsid w:val="00E52CAF"/>
    <w:rPr>
      <w:sz w:val="20"/>
      <w:szCs w:val="20"/>
    </w:rPr>
  </w:style>
  <w:style w:type="paragraph" w:styleId="BodyText">
    <w:name w:val="Body Text"/>
    <w:basedOn w:val="Normal"/>
    <w:semiHidden/>
    <w:rsid w:val="00E52CAF"/>
    <w:pPr>
      <w:spacing w:after="120"/>
    </w:pPr>
    <w:rPr>
      <w:sz w:val="20"/>
      <w:szCs w:val="20"/>
    </w:rPr>
  </w:style>
  <w:style w:type="paragraph" w:styleId="Header">
    <w:name w:val="header"/>
    <w:basedOn w:val="Normal"/>
    <w:semiHidden/>
    <w:rsid w:val="00E52CA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E52CAF"/>
    <w:pPr>
      <w:tabs>
        <w:tab w:val="center" w:pos="4320"/>
        <w:tab w:val="right" w:pos="8640"/>
      </w:tabs>
    </w:pPr>
  </w:style>
  <w:style w:type="paragraph" w:customStyle="1" w:styleId="CcList">
    <w:name w:val="Cc List"/>
    <w:basedOn w:val="Normal"/>
    <w:rsid w:val="00E52CA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2A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36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2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25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2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C:and Settings_Mtg_Adeq_Valid_Letter.snp</vt:lpstr>
    </vt:vector>
  </TitlesOfParts>
  <Company>IEHP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C:and Settings_Mtg_Adeq_Valid_Letter.snp</dc:title>
  <dc:creator>Brad Clifford</dc:creator>
  <cp:lastModifiedBy>Maiden Barra</cp:lastModifiedBy>
  <cp:revision>4</cp:revision>
  <dcterms:created xsi:type="dcterms:W3CDTF">2020-08-20T08:49:00Z</dcterms:created>
  <dcterms:modified xsi:type="dcterms:W3CDTF">2022-04-07T23:37:00Z</dcterms:modified>
</cp:coreProperties>
</file>