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945"/>
        <w:gridCol w:w="5490"/>
        <w:gridCol w:w="4950"/>
      </w:tblGrid>
      <w:tr w:rsidR="00711710" w:rsidRPr="00A2675D" w14:paraId="6C8CBC28" w14:textId="21DA195C" w:rsidTr="004404AC">
        <w:trPr>
          <w:tblHeader/>
        </w:trPr>
        <w:tc>
          <w:tcPr>
            <w:tcW w:w="3945" w:type="dxa"/>
          </w:tcPr>
          <w:p w14:paraId="684AD7A4" w14:textId="77777777" w:rsidR="00711710" w:rsidRPr="00A2675D" w:rsidRDefault="00711710" w:rsidP="00FB62C9">
            <w:pPr>
              <w:spacing w:after="60"/>
              <w:jc w:val="center"/>
              <w:rPr>
                <w:b/>
                <w:sz w:val="20"/>
                <w:szCs w:val="20"/>
              </w:rPr>
            </w:pPr>
            <w:r w:rsidRPr="00A2675D">
              <w:rPr>
                <w:b/>
                <w:sz w:val="20"/>
                <w:szCs w:val="20"/>
              </w:rPr>
              <w:t>Type of Request</w:t>
            </w:r>
          </w:p>
          <w:p w14:paraId="1A3FA56B" w14:textId="77777777" w:rsidR="00711710" w:rsidRPr="00A2675D" w:rsidRDefault="00711710" w:rsidP="00FB62C9">
            <w:pPr>
              <w:spacing w:after="60"/>
              <w:jc w:val="center"/>
              <w:rPr>
                <w:b/>
                <w:sz w:val="20"/>
                <w:szCs w:val="20"/>
              </w:rPr>
            </w:pPr>
          </w:p>
        </w:tc>
        <w:tc>
          <w:tcPr>
            <w:tcW w:w="5490" w:type="dxa"/>
          </w:tcPr>
          <w:p w14:paraId="16B9B07F" w14:textId="77777777" w:rsidR="00711710" w:rsidRPr="00A2675D" w:rsidRDefault="00711710" w:rsidP="00FB62C9">
            <w:pPr>
              <w:spacing w:after="60"/>
              <w:jc w:val="center"/>
              <w:rPr>
                <w:b/>
                <w:sz w:val="20"/>
                <w:szCs w:val="20"/>
              </w:rPr>
            </w:pPr>
            <w:r w:rsidRPr="00A2675D">
              <w:rPr>
                <w:b/>
                <w:sz w:val="20"/>
                <w:szCs w:val="20"/>
              </w:rPr>
              <w:t>Decision</w:t>
            </w:r>
          </w:p>
        </w:tc>
        <w:tc>
          <w:tcPr>
            <w:tcW w:w="4950" w:type="dxa"/>
          </w:tcPr>
          <w:p w14:paraId="6CB4BB92" w14:textId="77777777" w:rsidR="00711710" w:rsidRPr="00A2675D" w:rsidRDefault="00711710" w:rsidP="00FB62C9">
            <w:pPr>
              <w:spacing w:after="60"/>
              <w:jc w:val="center"/>
              <w:rPr>
                <w:b/>
                <w:sz w:val="20"/>
                <w:szCs w:val="20"/>
              </w:rPr>
            </w:pPr>
            <w:r w:rsidRPr="00A2675D">
              <w:rPr>
                <w:b/>
                <w:sz w:val="20"/>
                <w:szCs w:val="20"/>
              </w:rPr>
              <w:t>Notification Timeframes</w:t>
            </w:r>
          </w:p>
        </w:tc>
      </w:tr>
      <w:tr w:rsidR="00FD14EE" w:rsidRPr="00A2675D" w14:paraId="1C225983" w14:textId="77777777" w:rsidTr="004404AC">
        <w:tc>
          <w:tcPr>
            <w:tcW w:w="3945" w:type="dxa"/>
          </w:tcPr>
          <w:p w14:paraId="3E65579C" w14:textId="0D83AE21" w:rsidR="00FD14EE" w:rsidRPr="00A2675D" w:rsidRDefault="00FD14EE" w:rsidP="00FB62C9">
            <w:pPr>
              <w:spacing w:after="60"/>
              <w:rPr>
                <w:b/>
                <w:sz w:val="20"/>
                <w:szCs w:val="20"/>
              </w:rPr>
            </w:pPr>
            <w:r w:rsidRPr="00A2675D">
              <w:rPr>
                <w:b/>
                <w:sz w:val="20"/>
                <w:szCs w:val="20"/>
              </w:rPr>
              <w:t>Urgent Pre-Service Requests</w:t>
            </w:r>
          </w:p>
          <w:p w14:paraId="3A8C8B83" w14:textId="77777777" w:rsidR="004404AC" w:rsidRDefault="004404AC" w:rsidP="004404AC">
            <w:pPr>
              <w:spacing w:after="60"/>
              <w:rPr>
                <w:b/>
                <w:i/>
                <w:iCs/>
                <w:sz w:val="20"/>
                <w:szCs w:val="20"/>
              </w:rPr>
            </w:pPr>
          </w:p>
          <w:p w14:paraId="5B46F270" w14:textId="2EEFA4A8" w:rsidR="004404AC" w:rsidRPr="00A2675D" w:rsidRDefault="004404AC" w:rsidP="00FB62C9">
            <w:pPr>
              <w:spacing w:after="60"/>
              <w:rPr>
                <w:b/>
                <w:sz w:val="20"/>
                <w:szCs w:val="20"/>
              </w:rPr>
            </w:pPr>
            <w:r w:rsidRPr="00FB62C9">
              <w:rPr>
                <w:b/>
                <w:i/>
                <w:iCs/>
                <w:sz w:val="20"/>
                <w:szCs w:val="20"/>
              </w:rPr>
              <w:t>Definition</w:t>
            </w:r>
            <w:r w:rsidRPr="00FB62C9">
              <w:rPr>
                <w:bCs/>
                <w:i/>
                <w:iCs/>
                <w:sz w:val="20"/>
                <w:szCs w:val="20"/>
              </w:rPr>
              <w:t>:</w:t>
            </w:r>
            <w:r w:rsidRPr="00FB62C9">
              <w:rPr>
                <w:b/>
                <w:i/>
                <w:iCs/>
                <w:sz w:val="20"/>
                <w:szCs w:val="20"/>
              </w:rPr>
              <w:t xml:space="preserve"> </w:t>
            </w:r>
            <w:r w:rsidRPr="00FB62C9">
              <w:rPr>
                <w:bCs/>
                <w:i/>
                <w:iCs/>
                <w:sz w:val="20"/>
                <w:szCs w:val="20"/>
              </w:rPr>
              <w:t xml:space="preserve">Member’s condition is such that the Member faces an imminent and serious threat to their health, including, but not limited to, the potential loss of life, limb, or other major bodily function, or when the non-urgent timeframe for </w:t>
            </w:r>
            <w:proofErr w:type="gramStart"/>
            <w:r w:rsidRPr="00FB62C9">
              <w:rPr>
                <w:bCs/>
                <w:i/>
                <w:iCs/>
                <w:sz w:val="20"/>
                <w:szCs w:val="20"/>
              </w:rPr>
              <w:t>making a determination</w:t>
            </w:r>
            <w:proofErr w:type="gramEnd"/>
            <w:r w:rsidRPr="00FB62C9">
              <w:rPr>
                <w:bCs/>
                <w:i/>
                <w:iCs/>
                <w:sz w:val="20"/>
                <w:szCs w:val="20"/>
              </w:rPr>
              <w:t xml:space="preserve"> would be detrimental to the Member’s life or health, or could jeopardize Member’s ability to regain maximum function.</w:t>
            </w:r>
            <w:r>
              <w:rPr>
                <w:rStyle w:val="FootnoteReference"/>
                <w:bCs/>
                <w:szCs w:val="20"/>
              </w:rPr>
              <w:footnoteReference w:id="1"/>
            </w:r>
          </w:p>
        </w:tc>
        <w:tc>
          <w:tcPr>
            <w:tcW w:w="5490" w:type="dxa"/>
          </w:tcPr>
          <w:p w14:paraId="6DB0EF85" w14:textId="5CDF5546" w:rsidR="00D71BEA" w:rsidRPr="00A2675D" w:rsidRDefault="00D71BEA" w:rsidP="00FB62C9">
            <w:pPr>
              <w:numPr>
                <w:ilvl w:val="0"/>
                <w:numId w:val="47"/>
              </w:numPr>
              <w:spacing w:after="60"/>
              <w:ind w:left="346"/>
              <w:rPr>
                <w:bCs/>
                <w:sz w:val="20"/>
                <w:szCs w:val="20"/>
              </w:rPr>
            </w:pPr>
            <w:r w:rsidRPr="00A2675D">
              <w:rPr>
                <w:bCs/>
                <w:sz w:val="20"/>
                <w:szCs w:val="20"/>
              </w:rPr>
              <w:t xml:space="preserve">Determine within forty-eight (48) hours </w:t>
            </w:r>
            <w:r w:rsidR="00C87756" w:rsidRPr="00A2675D">
              <w:rPr>
                <w:bCs/>
                <w:sz w:val="20"/>
                <w:szCs w:val="20"/>
              </w:rPr>
              <w:t>of receiving the</w:t>
            </w:r>
            <w:r w:rsidRPr="00A2675D">
              <w:rPr>
                <w:bCs/>
                <w:sz w:val="20"/>
                <w:szCs w:val="20"/>
              </w:rPr>
              <w:t xml:space="preserve"> request if </w:t>
            </w:r>
            <w:r w:rsidR="00C87756" w:rsidRPr="00A2675D">
              <w:rPr>
                <w:bCs/>
                <w:sz w:val="20"/>
                <w:szCs w:val="20"/>
              </w:rPr>
              <w:t xml:space="preserve">the request does not meet </w:t>
            </w:r>
            <w:r w:rsidR="000373C0" w:rsidRPr="00A2675D">
              <w:rPr>
                <w:bCs/>
                <w:sz w:val="20"/>
                <w:szCs w:val="20"/>
              </w:rPr>
              <w:t xml:space="preserve">the definition </w:t>
            </w:r>
            <w:r w:rsidR="00C87756" w:rsidRPr="00A2675D">
              <w:rPr>
                <w:bCs/>
                <w:sz w:val="20"/>
                <w:szCs w:val="20"/>
              </w:rPr>
              <w:t>for urgent pre-service request.</w:t>
            </w:r>
          </w:p>
          <w:p w14:paraId="6CAF138C" w14:textId="2C0A3CCC" w:rsidR="00FD14EE" w:rsidRPr="00A2675D" w:rsidRDefault="00C87756" w:rsidP="00FB62C9">
            <w:pPr>
              <w:numPr>
                <w:ilvl w:val="0"/>
                <w:numId w:val="47"/>
              </w:numPr>
              <w:spacing w:after="60"/>
              <w:ind w:left="346"/>
              <w:rPr>
                <w:bCs/>
                <w:sz w:val="20"/>
                <w:szCs w:val="20"/>
              </w:rPr>
            </w:pPr>
            <w:r w:rsidRPr="00A2675D">
              <w:rPr>
                <w:bCs/>
                <w:sz w:val="20"/>
                <w:szCs w:val="20"/>
              </w:rPr>
              <w:t>If accepted as an urgent pre-service request, r</w:t>
            </w:r>
            <w:r w:rsidR="00D71BEA" w:rsidRPr="00A2675D">
              <w:rPr>
                <w:bCs/>
                <w:sz w:val="20"/>
                <w:szCs w:val="20"/>
              </w:rPr>
              <w:t>ender a decision</w:t>
            </w:r>
            <w:r w:rsidR="004404AC">
              <w:rPr>
                <w:bCs/>
                <w:sz w:val="20"/>
                <w:szCs w:val="20"/>
              </w:rPr>
              <w:t xml:space="preserve"> in a timely fashion appropriate for the nature of the Member’s condition, not to exceed</w:t>
            </w:r>
            <w:r w:rsidR="004404AC" w:rsidRPr="00A2675D">
              <w:rPr>
                <w:bCs/>
                <w:sz w:val="20"/>
                <w:szCs w:val="20"/>
              </w:rPr>
              <w:t xml:space="preserve"> 72 hours </w:t>
            </w:r>
            <w:r w:rsidR="004404AC">
              <w:rPr>
                <w:bCs/>
                <w:sz w:val="20"/>
                <w:szCs w:val="20"/>
              </w:rPr>
              <w:t>after receipt of the information reasonably necessary and requested by the plan to make the determination</w:t>
            </w:r>
            <w:r w:rsidR="004404AC" w:rsidRPr="00A2675D">
              <w:rPr>
                <w:bCs/>
                <w:sz w:val="20"/>
                <w:szCs w:val="20"/>
              </w:rPr>
              <w:t>.</w:t>
            </w:r>
            <w:r w:rsidR="004404AC" w:rsidRPr="00824384">
              <w:rPr>
                <w:rStyle w:val="FootnoteReference"/>
              </w:rPr>
              <w:footnoteReference w:id="2"/>
            </w:r>
            <w:r w:rsidR="004404AC" w:rsidRPr="00FB62C9">
              <w:rPr>
                <w:rStyle w:val="FootnoteReference"/>
              </w:rPr>
              <w:t>,</w:t>
            </w:r>
            <w:r w:rsidR="004404AC" w:rsidRPr="00824384">
              <w:rPr>
                <w:rStyle w:val="FootnoteReference"/>
              </w:rPr>
              <w:footnoteReference w:id="3"/>
            </w:r>
          </w:p>
          <w:p w14:paraId="0001305F" w14:textId="77777777" w:rsidR="0088507B" w:rsidRPr="00A2675D" w:rsidRDefault="0088507B" w:rsidP="00FB62C9">
            <w:pPr>
              <w:spacing w:after="60"/>
              <w:rPr>
                <w:bCs/>
                <w:sz w:val="20"/>
                <w:szCs w:val="20"/>
              </w:rPr>
            </w:pPr>
          </w:p>
          <w:p w14:paraId="4BCF8B67" w14:textId="78400F16" w:rsidR="00D71BEA" w:rsidRPr="00A2675D" w:rsidRDefault="00F7477C" w:rsidP="00FB62C9">
            <w:pPr>
              <w:spacing w:after="60"/>
              <w:rPr>
                <w:bCs/>
                <w:i/>
                <w:iCs/>
                <w:sz w:val="20"/>
                <w:szCs w:val="20"/>
              </w:rPr>
            </w:pPr>
            <w:r>
              <w:rPr>
                <w:bCs/>
                <w:sz w:val="20"/>
                <w:szCs w:val="20"/>
              </w:rPr>
              <w:t>The initial 72-hour authorization timeframe may be extended by up to 14 additional days if the Member requests an extension, or if IEHP or the Delegate can justify its need for additional information and demonstrate how the extension is in the Member’s interest.</w:t>
            </w:r>
          </w:p>
        </w:tc>
        <w:tc>
          <w:tcPr>
            <w:tcW w:w="4950" w:type="dxa"/>
          </w:tcPr>
          <w:p w14:paraId="06AC2FAD" w14:textId="2384EA7F" w:rsidR="000373C0" w:rsidRPr="00A2675D" w:rsidRDefault="0088507B" w:rsidP="00FB62C9">
            <w:pPr>
              <w:numPr>
                <w:ilvl w:val="0"/>
                <w:numId w:val="47"/>
              </w:numPr>
              <w:spacing w:after="60"/>
              <w:ind w:left="346"/>
              <w:rPr>
                <w:bCs/>
                <w:sz w:val="20"/>
                <w:szCs w:val="20"/>
              </w:rPr>
            </w:pPr>
            <w:r w:rsidRPr="00A2675D">
              <w:rPr>
                <w:bCs/>
                <w:sz w:val="20"/>
                <w:szCs w:val="20"/>
              </w:rPr>
              <w:t xml:space="preserve">If the request does not meet the definition for urgent pre-service request, notify the requesting Provider via fax </w:t>
            </w:r>
            <w:r w:rsidR="000373C0" w:rsidRPr="00A2675D">
              <w:rPr>
                <w:bCs/>
                <w:sz w:val="20"/>
                <w:szCs w:val="20"/>
              </w:rPr>
              <w:t xml:space="preserve">within </w:t>
            </w:r>
            <w:r w:rsidRPr="00A2675D">
              <w:rPr>
                <w:bCs/>
                <w:sz w:val="20"/>
                <w:szCs w:val="20"/>
              </w:rPr>
              <w:t>forty-eight (</w:t>
            </w:r>
            <w:r w:rsidR="000373C0" w:rsidRPr="00A2675D">
              <w:rPr>
                <w:bCs/>
                <w:sz w:val="20"/>
                <w:szCs w:val="20"/>
              </w:rPr>
              <w:t>48</w:t>
            </w:r>
            <w:r w:rsidRPr="00A2675D">
              <w:rPr>
                <w:bCs/>
                <w:sz w:val="20"/>
                <w:szCs w:val="20"/>
              </w:rPr>
              <w:t>)</w:t>
            </w:r>
            <w:r w:rsidR="000373C0" w:rsidRPr="00A2675D">
              <w:rPr>
                <w:bCs/>
                <w:sz w:val="20"/>
                <w:szCs w:val="20"/>
              </w:rPr>
              <w:t xml:space="preserve"> hours of receiving the request</w:t>
            </w:r>
            <w:r w:rsidRPr="00A2675D">
              <w:rPr>
                <w:bCs/>
                <w:sz w:val="20"/>
                <w:szCs w:val="20"/>
              </w:rPr>
              <w:t xml:space="preserve"> (including holidays and weekends)</w:t>
            </w:r>
            <w:r w:rsidR="000373C0" w:rsidRPr="00A2675D">
              <w:rPr>
                <w:bCs/>
                <w:sz w:val="20"/>
                <w:szCs w:val="20"/>
              </w:rPr>
              <w:t>.</w:t>
            </w:r>
          </w:p>
          <w:p w14:paraId="50F63278" w14:textId="6B46EC18" w:rsidR="004404AC" w:rsidRDefault="0088507B" w:rsidP="00FB62C9">
            <w:pPr>
              <w:numPr>
                <w:ilvl w:val="0"/>
                <w:numId w:val="47"/>
              </w:numPr>
              <w:spacing w:after="60"/>
              <w:ind w:left="346"/>
              <w:rPr>
                <w:bCs/>
                <w:sz w:val="20"/>
                <w:szCs w:val="20"/>
              </w:rPr>
            </w:pPr>
            <w:r w:rsidRPr="00A2675D">
              <w:rPr>
                <w:bCs/>
                <w:sz w:val="20"/>
                <w:szCs w:val="20"/>
              </w:rPr>
              <w:t>If accepted as an urgent pre-service request</w:t>
            </w:r>
            <w:r w:rsidR="004404AC">
              <w:rPr>
                <w:bCs/>
                <w:sz w:val="20"/>
                <w:szCs w:val="20"/>
              </w:rPr>
              <w:t>:</w:t>
            </w:r>
            <w:r w:rsidR="004404AC" w:rsidRPr="00A2675D">
              <w:rPr>
                <w:bCs/>
                <w:sz w:val="20"/>
                <w:szCs w:val="20"/>
              </w:rPr>
              <w:t xml:space="preserve"> </w:t>
            </w:r>
          </w:p>
          <w:p w14:paraId="11580D85" w14:textId="293B033B" w:rsidR="004404AC" w:rsidRPr="00FB62C9" w:rsidRDefault="004404AC" w:rsidP="00FB62C9">
            <w:pPr>
              <w:numPr>
                <w:ilvl w:val="1"/>
                <w:numId w:val="47"/>
              </w:numPr>
              <w:spacing w:after="60"/>
              <w:ind w:left="700"/>
              <w:rPr>
                <w:rStyle w:val="normaltextrun"/>
                <w:bCs/>
                <w:sz w:val="20"/>
                <w:szCs w:val="20"/>
              </w:rPr>
            </w:pPr>
            <w:r w:rsidRPr="004404AC">
              <w:rPr>
                <w:rStyle w:val="normaltextrun"/>
                <w:color w:val="000000"/>
                <w:sz w:val="20"/>
                <w:szCs w:val="20"/>
                <w:shd w:val="clear" w:color="auto" w:fill="FFFFFF"/>
              </w:rPr>
              <w:t>The</w:t>
            </w:r>
            <w:r w:rsidRPr="00FB62C9">
              <w:rPr>
                <w:rStyle w:val="normaltextrun"/>
                <w:color w:val="000000"/>
                <w:sz w:val="20"/>
                <w:szCs w:val="20"/>
                <w:shd w:val="clear" w:color="auto" w:fill="FFFFFF"/>
              </w:rPr>
              <w:t xml:space="preserve"> Requesting</w:t>
            </w:r>
            <w:r w:rsidRPr="004404AC">
              <w:rPr>
                <w:rStyle w:val="normaltextrun"/>
                <w:color w:val="000000"/>
                <w:sz w:val="20"/>
                <w:szCs w:val="20"/>
                <w:shd w:val="clear" w:color="auto" w:fill="FFFFFF"/>
              </w:rPr>
              <w:t xml:space="preserve"> Provider must be i</w:t>
            </w:r>
            <w:r w:rsidRPr="00FB62C9">
              <w:rPr>
                <w:rStyle w:val="normaltextrun"/>
                <w:color w:val="000000"/>
                <w:sz w:val="20"/>
                <w:szCs w:val="20"/>
                <w:shd w:val="clear" w:color="auto" w:fill="FFFFFF"/>
              </w:rPr>
              <w:t xml:space="preserve">nitially </w:t>
            </w:r>
            <w:r w:rsidRPr="004404AC">
              <w:rPr>
                <w:rStyle w:val="normaltextrun"/>
                <w:color w:val="000000"/>
                <w:sz w:val="20"/>
                <w:szCs w:val="20"/>
                <w:shd w:val="clear" w:color="auto" w:fill="FFFFFF"/>
              </w:rPr>
              <w:t>n</w:t>
            </w:r>
            <w:r w:rsidRPr="00FB62C9">
              <w:rPr>
                <w:rStyle w:val="normaltextrun"/>
                <w:color w:val="000000"/>
                <w:sz w:val="20"/>
                <w:szCs w:val="20"/>
                <w:shd w:val="clear" w:color="auto" w:fill="FFFFFF"/>
              </w:rPr>
              <w:t>otified</w:t>
            </w:r>
            <w:r w:rsidR="0002319A">
              <w:rPr>
                <w:rStyle w:val="normaltextrun"/>
                <w:color w:val="000000"/>
                <w:sz w:val="20"/>
                <w:szCs w:val="20"/>
                <w:shd w:val="clear" w:color="auto" w:fill="FFFFFF"/>
              </w:rPr>
              <w:t xml:space="preserve"> </w:t>
            </w:r>
            <w:r w:rsidR="0002319A" w:rsidRPr="00FB62C9">
              <w:rPr>
                <w:rStyle w:val="normaltextrun"/>
                <w:color w:val="000000"/>
                <w:sz w:val="20"/>
                <w:szCs w:val="20"/>
                <w:shd w:val="clear" w:color="auto" w:fill="FFFFFF"/>
              </w:rPr>
              <w:t>of the decision</w:t>
            </w:r>
            <w:r>
              <w:rPr>
                <w:rStyle w:val="normaltextrun"/>
                <w:color w:val="000000"/>
                <w:sz w:val="20"/>
                <w:szCs w:val="20"/>
                <w:shd w:val="clear" w:color="auto" w:fill="FFFFFF"/>
              </w:rPr>
              <w:t xml:space="preserve"> by phone or fax within 24 hours of the decision.</w:t>
            </w:r>
            <w:r>
              <w:rPr>
                <w:rStyle w:val="FootnoteReference"/>
                <w:color w:val="000000"/>
                <w:szCs w:val="20"/>
                <w:shd w:val="clear" w:color="auto" w:fill="FFFFFF"/>
              </w:rPr>
              <w:footnoteReference w:id="4"/>
            </w:r>
          </w:p>
          <w:p w14:paraId="2005F5A0" w14:textId="625A1C35" w:rsidR="00FD14EE" w:rsidRPr="00403616" w:rsidRDefault="004404AC" w:rsidP="00FB62C9">
            <w:pPr>
              <w:numPr>
                <w:ilvl w:val="1"/>
                <w:numId w:val="47"/>
              </w:numPr>
              <w:spacing w:after="60"/>
              <w:ind w:left="700"/>
              <w:rPr>
                <w:bCs/>
                <w:sz w:val="20"/>
                <w:szCs w:val="20"/>
              </w:rPr>
            </w:pPr>
            <w:r w:rsidRPr="00FB62C9">
              <w:rPr>
                <w:rStyle w:val="normaltextrun"/>
                <w:color w:val="000000"/>
                <w:sz w:val="20"/>
                <w:szCs w:val="20"/>
                <w:shd w:val="clear" w:color="auto" w:fill="FFFFFF"/>
              </w:rPr>
              <w:t>The</w:t>
            </w:r>
            <w:r>
              <w:rPr>
                <w:rStyle w:val="normaltextrun"/>
                <w:color w:val="000000"/>
                <w:shd w:val="clear" w:color="auto" w:fill="FFFFFF"/>
              </w:rPr>
              <w:t xml:space="preserve"> </w:t>
            </w:r>
            <w:r w:rsidR="00D71BEA" w:rsidRPr="00A2675D">
              <w:rPr>
                <w:bCs/>
                <w:sz w:val="20"/>
                <w:szCs w:val="20"/>
              </w:rPr>
              <w:t xml:space="preserve">Member </w:t>
            </w:r>
            <w:r w:rsidR="000373C0" w:rsidRPr="00A2675D">
              <w:rPr>
                <w:bCs/>
                <w:sz w:val="20"/>
                <w:szCs w:val="20"/>
              </w:rPr>
              <w:t xml:space="preserve">and </w:t>
            </w:r>
            <w:r>
              <w:rPr>
                <w:bCs/>
                <w:sz w:val="20"/>
                <w:szCs w:val="20"/>
              </w:rPr>
              <w:t xml:space="preserve">Requesting </w:t>
            </w:r>
            <w:r w:rsidR="000373C0" w:rsidRPr="00A2675D">
              <w:rPr>
                <w:bCs/>
                <w:sz w:val="20"/>
                <w:szCs w:val="20"/>
              </w:rPr>
              <w:t xml:space="preserve">Provider </w:t>
            </w:r>
            <w:r>
              <w:rPr>
                <w:bCs/>
                <w:sz w:val="20"/>
                <w:szCs w:val="20"/>
              </w:rPr>
              <w:t xml:space="preserve">must be notified of the decision </w:t>
            </w:r>
            <w:r w:rsidR="00CB095F">
              <w:rPr>
                <w:bCs/>
                <w:sz w:val="20"/>
                <w:szCs w:val="20"/>
              </w:rPr>
              <w:t xml:space="preserve">in writing </w:t>
            </w:r>
            <w:r>
              <w:rPr>
                <w:bCs/>
                <w:sz w:val="20"/>
                <w:szCs w:val="20"/>
              </w:rPr>
              <w:t>within</w:t>
            </w:r>
            <w:r w:rsidR="00A41367">
              <w:rPr>
                <w:bCs/>
                <w:sz w:val="20"/>
                <w:szCs w:val="20"/>
              </w:rPr>
              <w:t>72 hours of receipt of request</w:t>
            </w:r>
            <w:r w:rsidR="00FD14EE" w:rsidRPr="00A2675D">
              <w:rPr>
                <w:bCs/>
                <w:sz w:val="20"/>
                <w:szCs w:val="20"/>
              </w:rPr>
              <w:t>.</w:t>
            </w:r>
            <w:r w:rsidR="00FF0D58">
              <w:rPr>
                <w:rStyle w:val="FootnoteReference"/>
                <w:bCs/>
                <w:szCs w:val="20"/>
              </w:rPr>
              <w:footnoteReference w:id="5"/>
            </w:r>
          </w:p>
          <w:p w14:paraId="5831C76D" w14:textId="71E13B0D" w:rsidR="0088507B" w:rsidRDefault="00AB328B" w:rsidP="00AB328B">
            <w:pPr>
              <w:pStyle w:val="ListParagraph"/>
              <w:numPr>
                <w:ilvl w:val="0"/>
                <w:numId w:val="47"/>
              </w:numPr>
              <w:spacing w:after="60"/>
              <w:ind w:left="337"/>
              <w:rPr>
                <w:bCs/>
                <w:sz w:val="20"/>
                <w:szCs w:val="20"/>
              </w:rPr>
            </w:pPr>
            <w:r>
              <w:rPr>
                <w:bCs/>
                <w:sz w:val="20"/>
                <w:szCs w:val="20"/>
              </w:rPr>
              <w:t>For terminations, suspension, or reductions of previously authorized services, notify the Member at least ten (10) days prior to the date of the action.</w:t>
            </w:r>
            <w:r>
              <w:rPr>
                <w:rStyle w:val="FootnoteReference"/>
                <w:bCs/>
                <w:szCs w:val="20"/>
              </w:rPr>
              <w:footnoteReference w:id="6"/>
            </w:r>
          </w:p>
          <w:p w14:paraId="7423CAA7" w14:textId="526718DD" w:rsidR="00AB328B" w:rsidRPr="006B41D9" w:rsidRDefault="00AB328B" w:rsidP="006B41D9">
            <w:pPr>
              <w:pStyle w:val="ListParagraph"/>
              <w:spacing w:after="60"/>
              <w:ind w:left="337"/>
              <w:rPr>
                <w:bCs/>
                <w:sz w:val="20"/>
                <w:szCs w:val="20"/>
              </w:rPr>
            </w:pPr>
          </w:p>
        </w:tc>
      </w:tr>
      <w:tr w:rsidR="00FD14EE" w:rsidRPr="00A2675D" w14:paraId="5E41684C" w14:textId="77777777" w:rsidTr="004404AC">
        <w:tc>
          <w:tcPr>
            <w:tcW w:w="3945" w:type="dxa"/>
          </w:tcPr>
          <w:p w14:paraId="6F2B0AE5" w14:textId="77777777" w:rsidR="00FD14EE" w:rsidRPr="00A2675D" w:rsidRDefault="00FD14EE" w:rsidP="00FB62C9">
            <w:pPr>
              <w:spacing w:after="60"/>
              <w:rPr>
                <w:b/>
                <w:sz w:val="20"/>
                <w:szCs w:val="20"/>
              </w:rPr>
            </w:pPr>
            <w:r w:rsidRPr="00A2675D">
              <w:rPr>
                <w:b/>
                <w:sz w:val="20"/>
                <w:szCs w:val="20"/>
              </w:rPr>
              <w:t>Urgent Concurrent Requests</w:t>
            </w:r>
          </w:p>
          <w:p w14:paraId="358EFD61" w14:textId="77777777" w:rsidR="00FD14EE" w:rsidRDefault="00FD14EE" w:rsidP="004404AC">
            <w:pPr>
              <w:spacing w:after="60"/>
              <w:rPr>
                <w:bCs/>
                <w:sz w:val="20"/>
                <w:szCs w:val="20"/>
              </w:rPr>
            </w:pPr>
            <w:r w:rsidRPr="00A2675D">
              <w:rPr>
                <w:bCs/>
                <w:sz w:val="20"/>
                <w:szCs w:val="20"/>
              </w:rPr>
              <w:t>(Example: Continued Home Health, Physical Therapy, Speech Therapy, and Occupational Therapy requests, only when initial pre-service request</w:t>
            </w:r>
            <w:r w:rsidR="00090CDC" w:rsidRPr="00A2675D">
              <w:rPr>
                <w:bCs/>
                <w:sz w:val="20"/>
                <w:szCs w:val="20"/>
              </w:rPr>
              <w:t xml:space="preserve"> f</w:t>
            </w:r>
            <w:r w:rsidRPr="00A2675D">
              <w:rPr>
                <w:bCs/>
                <w:sz w:val="20"/>
                <w:szCs w:val="20"/>
              </w:rPr>
              <w:t>or service did not expire)</w:t>
            </w:r>
          </w:p>
          <w:p w14:paraId="6402011C" w14:textId="77777777" w:rsidR="004404AC" w:rsidRDefault="004404AC" w:rsidP="004404AC">
            <w:pPr>
              <w:spacing w:after="60"/>
            </w:pPr>
          </w:p>
          <w:p w14:paraId="42A3126E" w14:textId="3BF185A2" w:rsidR="004404AC" w:rsidRPr="00A2675D" w:rsidRDefault="004404AC" w:rsidP="00FB62C9">
            <w:pPr>
              <w:spacing w:after="60"/>
              <w:rPr>
                <w:bCs/>
                <w:sz w:val="20"/>
                <w:szCs w:val="20"/>
              </w:rPr>
            </w:pPr>
            <w:r w:rsidRPr="006913A9">
              <w:rPr>
                <w:b/>
                <w:i/>
                <w:iCs/>
                <w:sz w:val="20"/>
                <w:szCs w:val="20"/>
              </w:rPr>
              <w:t>Definition</w:t>
            </w:r>
            <w:r w:rsidRPr="006913A9">
              <w:rPr>
                <w:bCs/>
                <w:i/>
                <w:iCs/>
                <w:sz w:val="20"/>
                <w:szCs w:val="20"/>
              </w:rPr>
              <w:t>:</w:t>
            </w:r>
            <w:r w:rsidRPr="006913A9">
              <w:rPr>
                <w:b/>
                <w:i/>
                <w:iCs/>
                <w:sz w:val="20"/>
                <w:szCs w:val="20"/>
              </w:rPr>
              <w:t xml:space="preserve"> </w:t>
            </w:r>
            <w:r w:rsidRPr="006913A9">
              <w:rPr>
                <w:bCs/>
                <w:i/>
                <w:iCs/>
                <w:sz w:val="20"/>
                <w:szCs w:val="20"/>
              </w:rPr>
              <w:t xml:space="preserve">Member’s condition is such that the Member faces an imminent and serious </w:t>
            </w:r>
            <w:r w:rsidRPr="006913A9">
              <w:rPr>
                <w:bCs/>
                <w:i/>
                <w:iCs/>
                <w:sz w:val="20"/>
                <w:szCs w:val="20"/>
              </w:rPr>
              <w:lastRenderedPageBreak/>
              <w:t xml:space="preserve">threat to their health, including, but not limited to, the potential loss of life, limb, or other major bodily function, or when the non-urgent timeframe for </w:t>
            </w:r>
            <w:proofErr w:type="gramStart"/>
            <w:r w:rsidRPr="006913A9">
              <w:rPr>
                <w:bCs/>
                <w:i/>
                <w:iCs/>
                <w:sz w:val="20"/>
                <w:szCs w:val="20"/>
              </w:rPr>
              <w:t>making a determination</w:t>
            </w:r>
            <w:proofErr w:type="gramEnd"/>
            <w:r w:rsidRPr="006913A9">
              <w:rPr>
                <w:bCs/>
                <w:i/>
                <w:iCs/>
                <w:sz w:val="20"/>
                <w:szCs w:val="20"/>
              </w:rPr>
              <w:t xml:space="preserve"> would be detrimental to the Member’s life or health, or could jeopardize Member’s ability to regain maximum function.</w:t>
            </w:r>
            <w:r>
              <w:rPr>
                <w:rStyle w:val="FootnoteReference"/>
                <w:bCs/>
                <w:szCs w:val="20"/>
              </w:rPr>
              <w:footnoteReference w:id="7"/>
            </w:r>
          </w:p>
        </w:tc>
        <w:tc>
          <w:tcPr>
            <w:tcW w:w="5490" w:type="dxa"/>
          </w:tcPr>
          <w:p w14:paraId="1BA89A5A" w14:textId="454C2B6B" w:rsidR="00C87756" w:rsidRPr="00A2675D" w:rsidRDefault="00D71BEA" w:rsidP="00FB62C9">
            <w:pPr>
              <w:numPr>
                <w:ilvl w:val="0"/>
                <w:numId w:val="47"/>
              </w:numPr>
              <w:spacing w:after="60"/>
              <w:ind w:left="346"/>
              <w:rPr>
                <w:bCs/>
                <w:sz w:val="20"/>
                <w:szCs w:val="20"/>
              </w:rPr>
            </w:pPr>
            <w:r w:rsidRPr="00A2675D">
              <w:rPr>
                <w:bCs/>
                <w:sz w:val="20"/>
                <w:szCs w:val="20"/>
              </w:rPr>
              <w:lastRenderedPageBreak/>
              <w:t xml:space="preserve">Determine within forty-eight (48) hours </w:t>
            </w:r>
            <w:r w:rsidR="00C87756" w:rsidRPr="00A2675D">
              <w:rPr>
                <w:bCs/>
                <w:sz w:val="20"/>
                <w:szCs w:val="20"/>
              </w:rPr>
              <w:t>of receiving the</w:t>
            </w:r>
            <w:r w:rsidRPr="00A2675D">
              <w:rPr>
                <w:bCs/>
                <w:sz w:val="20"/>
                <w:szCs w:val="20"/>
              </w:rPr>
              <w:t xml:space="preserve"> request </w:t>
            </w:r>
            <w:r w:rsidR="00C87756" w:rsidRPr="00A2675D">
              <w:rPr>
                <w:bCs/>
                <w:sz w:val="20"/>
                <w:szCs w:val="20"/>
              </w:rPr>
              <w:t>the request does not meet</w:t>
            </w:r>
            <w:r w:rsidR="000373C0" w:rsidRPr="00A2675D">
              <w:rPr>
                <w:bCs/>
                <w:sz w:val="20"/>
                <w:szCs w:val="20"/>
              </w:rPr>
              <w:t xml:space="preserve"> the definition</w:t>
            </w:r>
            <w:r w:rsidR="00C87756" w:rsidRPr="00A2675D">
              <w:rPr>
                <w:bCs/>
                <w:sz w:val="20"/>
                <w:szCs w:val="20"/>
              </w:rPr>
              <w:t xml:space="preserve"> for urgent concurrent request.</w:t>
            </w:r>
          </w:p>
          <w:p w14:paraId="55227710" w14:textId="0C113364" w:rsidR="00D71BEA" w:rsidRPr="006B41D9" w:rsidRDefault="00C87756" w:rsidP="00FB62C9">
            <w:pPr>
              <w:numPr>
                <w:ilvl w:val="0"/>
                <w:numId w:val="47"/>
              </w:numPr>
              <w:spacing w:after="60"/>
              <w:ind w:left="346"/>
              <w:rPr>
                <w:bCs/>
                <w:sz w:val="20"/>
                <w:szCs w:val="20"/>
              </w:rPr>
            </w:pPr>
            <w:r w:rsidRPr="00A2675D">
              <w:rPr>
                <w:bCs/>
                <w:sz w:val="20"/>
                <w:szCs w:val="20"/>
              </w:rPr>
              <w:t xml:space="preserve">If accepted as an urgent concurrent request, render </w:t>
            </w:r>
            <w:r w:rsidR="00D71BEA" w:rsidRPr="00A2675D">
              <w:rPr>
                <w:bCs/>
                <w:sz w:val="20"/>
                <w:szCs w:val="20"/>
              </w:rPr>
              <w:t xml:space="preserve">a </w:t>
            </w:r>
            <w:proofErr w:type="gramStart"/>
            <w:r w:rsidR="00D71BEA" w:rsidRPr="00A2675D">
              <w:rPr>
                <w:bCs/>
                <w:sz w:val="20"/>
                <w:szCs w:val="20"/>
              </w:rPr>
              <w:t xml:space="preserve">decision </w:t>
            </w:r>
            <w:r w:rsidR="004404AC">
              <w:rPr>
                <w:bCs/>
                <w:sz w:val="20"/>
                <w:szCs w:val="20"/>
              </w:rPr>
              <w:t xml:space="preserve"> in</w:t>
            </w:r>
            <w:proofErr w:type="gramEnd"/>
            <w:r w:rsidR="004404AC">
              <w:rPr>
                <w:bCs/>
                <w:sz w:val="20"/>
                <w:szCs w:val="20"/>
              </w:rPr>
              <w:t xml:space="preserve"> a timely fashion appropriate for the nature of the Member’s condition, not to exceed</w:t>
            </w:r>
            <w:r w:rsidR="004404AC" w:rsidRPr="00A2675D">
              <w:rPr>
                <w:bCs/>
                <w:sz w:val="20"/>
                <w:szCs w:val="20"/>
              </w:rPr>
              <w:t xml:space="preserve"> 72 hours </w:t>
            </w:r>
            <w:r w:rsidR="004404AC">
              <w:rPr>
                <w:bCs/>
                <w:sz w:val="20"/>
                <w:szCs w:val="20"/>
              </w:rPr>
              <w:t>after receipt of the information reasonably necessary and requested by the plan to make the determination</w:t>
            </w:r>
            <w:r w:rsidR="004404AC" w:rsidRPr="00A2675D">
              <w:rPr>
                <w:bCs/>
                <w:sz w:val="20"/>
                <w:szCs w:val="20"/>
              </w:rPr>
              <w:t>.</w:t>
            </w:r>
            <w:r w:rsidR="004404AC" w:rsidRPr="00824384">
              <w:rPr>
                <w:rStyle w:val="FootnoteReference"/>
              </w:rPr>
              <w:footnoteReference w:id="8"/>
            </w:r>
            <w:r w:rsidR="004404AC" w:rsidRPr="00FB62C9">
              <w:rPr>
                <w:rStyle w:val="FootnoteReference"/>
              </w:rPr>
              <w:t>,</w:t>
            </w:r>
            <w:r w:rsidR="004404AC" w:rsidRPr="00824384">
              <w:rPr>
                <w:rStyle w:val="FootnoteReference"/>
              </w:rPr>
              <w:footnoteReference w:id="9"/>
            </w:r>
          </w:p>
          <w:p w14:paraId="2DEE8DFC" w14:textId="77777777" w:rsidR="00F7477C" w:rsidRDefault="00F7477C" w:rsidP="00F7477C">
            <w:pPr>
              <w:spacing w:after="60"/>
              <w:rPr>
                <w:bCs/>
                <w:sz w:val="20"/>
                <w:szCs w:val="20"/>
              </w:rPr>
            </w:pPr>
          </w:p>
          <w:p w14:paraId="0AED3F47" w14:textId="3B0E480A" w:rsidR="00F7477C" w:rsidRPr="00A2675D" w:rsidRDefault="00F7477C" w:rsidP="006B41D9">
            <w:pPr>
              <w:spacing w:after="60"/>
              <w:rPr>
                <w:bCs/>
                <w:sz w:val="20"/>
                <w:szCs w:val="20"/>
              </w:rPr>
            </w:pPr>
            <w:r>
              <w:rPr>
                <w:bCs/>
                <w:sz w:val="20"/>
                <w:szCs w:val="20"/>
              </w:rPr>
              <w:t>The initial 72-hour authorization timeframe may be extended by up to 14 additional days if the Member requests an extension, or if IEHP or the Delegate can justify its need for additional information and demonstrate how the extension is in the Member’s interest.</w:t>
            </w:r>
          </w:p>
          <w:p w14:paraId="43920D79" w14:textId="5AC75655" w:rsidR="0088507B" w:rsidRDefault="0088507B" w:rsidP="00FB62C9">
            <w:pPr>
              <w:spacing w:after="60"/>
              <w:rPr>
                <w:bCs/>
                <w:sz w:val="20"/>
                <w:szCs w:val="20"/>
              </w:rPr>
            </w:pPr>
          </w:p>
          <w:p w14:paraId="0506E0DA" w14:textId="6E4AD9D8" w:rsidR="0088507B" w:rsidRPr="00A2675D" w:rsidRDefault="0088507B" w:rsidP="00FB62C9">
            <w:pPr>
              <w:spacing w:after="60"/>
              <w:rPr>
                <w:bCs/>
                <w:i/>
                <w:iCs/>
                <w:sz w:val="20"/>
                <w:szCs w:val="20"/>
              </w:rPr>
            </w:pPr>
          </w:p>
        </w:tc>
        <w:tc>
          <w:tcPr>
            <w:tcW w:w="4950" w:type="dxa"/>
          </w:tcPr>
          <w:p w14:paraId="7C551461" w14:textId="39005F40" w:rsidR="000373C0" w:rsidRPr="00A2675D" w:rsidRDefault="0088507B" w:rsidP="00FB62C9">
            <w:pPr>
              <w:numPr>
                <w:ilvl w:val="0"/>
                <w:numId w:val="48"/>
              </w:numPr>
              <w:spacing w:after="60"/>
              <w:ind w:left="352"/>
              <w:rPr>
                <w:bCs/>
                <w:sz w:val="20"/>
                <w:szCs w:val="20"/>
              </w:rPr>
            </w:pPr>
            <w:r w:rsidRPr="00A2675D">
              <w:rPr>
                <w:bCs/>
                <w:sz w:val="20"/>
                <w:szCs w:val="20"/>
              </w:rPr>
              <w:lastRenderedPageBreak/>
              <w:t>If the request does not meet the definition for urgent concurrent request, notify the</w:t>
            </w:r>
            <w:r w:rsidR="000373C0" w:rsidRPr="00A2675D">
              <w:rPr>
                <w:bCs/>
                <w:sz w:val="20"/>
                <w:szCs w:val="20"/>
              </w:rPr>
              <w:t xml:space="preserve"> requesting </w:t>
            </w:r>
            <w:r w:rsidRPr="00A2675D">
              <w:rPr>
                <w:bCs/>
                <w:sz w:val="20"/>
                <w:szCs w:val="20"/>
              </w:rPr>
              <w:t>P</w:t>
            </w:r>
            <w:r w:rsidR="000373C0" w:rsidRPr="00A2675D">
              <w:rPr>
                <w:bCs/>
                <w:sz w:val="20"/>
                <w:szCs w:val="20"/>
              </w:rPr>
              <w:t xml:space="preserve">rovider </w:t>
            </w:r>
            <w:r w:rsidRPr="00A2675D">
              <w:rPr>
                <w:bCs/>
                <w:sz w:val="20"/>
                <w:szCs w:val="20"/>
              </w:rPr>
              <w:t xml:space="preserve">via fax </w:t>
            </w:r>
            <w:r w:rsidR="000373C0" w:rsidRPr="00A2675D">
              <w:rPr>
                <w:bCs/>
                <w:sz w:val="20"/>
                <w:szCs w:val="20"/>
              </w:rPr>
              <w:t>within</w:t>
            </w:r>
            <w:r w:rsidRPr="00A2675D">
              <w:rPr>
                <w:bCs/>
                <w:sz w:val="20"/>
                <w:szCs w:val="20"/>
              </w:rPr>
              <w:t xml:space="preserve"> forty-eight</w:t>
            </w:r>
            <w:r w:rsidR="000373C0" w:rsidRPr="00A2675D">
              <w:rPr>
                <w:bCs/>
                <w:sz w:val="20"/>
                <w:szCs w:val="20"/>
              </w:rPr>
              <w:t xml:space="preserve"> </w:t>
            </w:r>
            <w:r w:rsidRPr="00A2675D">
              <w:rPr>
                <w:bCs/>
                <w:sz w:val="20"/>
                <w:szCs w:val="20"/>
              </w:rPr>
              <w:t>(</w:t>
            </w:r>
            <w:r w:rsidR="000373C0" w:rsidRPr="00A2675D">
              <w:rPr>
                <w:bCs/>
                <w:sz w:val="20"/>
                <w:szCs w:val="20"/>
              </w:rPr>
              <w:t>48</w:t>
            </w:r>
            <w:r w:rsidRPr="00A2675D">
              <w:rPr>
                <w:bCs/>
                <w:sz w:val="20"/>
                <w:szCs w:val="20"/>
              </w:rPr>
              <w:t>)</w:t>
            </w:r>
            <w:r w:rsidR="000373C0" w:rsidRPr="00A2675D">
              <w:rPr>
                <w:bCs/>
                <w:sz w:val="20"/>
                <w:szCs w:val="20"/>
              </w:rPr>
              <w:t xml:space="preserve"> hours of receiving the request </w:t>
            </w:r>
            <w:r w:rsidRPr="00A2675D">
              <w:rPr>
                <w:bCs/>
                <w:sz w:val="20"/>
                <w:szCs w:val="20"/>
              </w:rPr>
              <w:t>(including holidays and weekends)</w:t>
            </w:r>
            <w:r w:rsidR="000373C0" w:rsidRPr="00A2675D">
              <w:rPr>
                <w:bCs/>
                <w:sz w:val="20"/>
                <w:szCs w:val="20"/>
              </w:rPr>
              <w:t>.</w:t>
            </w:r>
          </w:p>
          <w:p w14:paraId="345B9D77" w14:textId="489422AA" w:rsidR="0002319A" w:rsidRDefault="0088507B" w:rsidP="004404AC">
            <w:pPr>
              <w:numPr>
                <w:ilvl w:val="0"/>
                <w:numId w:val="48"/>
              </w:numPr>
              <w:spacing w:after="60"/>
              <w:ind w:left="352"/>
              <w:rPr>
                <w:bCs/>
                <w:sz w:val="20"/>
                <w:szCs w:val="20"/>
              </w:rPr>
            </w:pPr>
            <w:r w:rsidRPr="00A2675D">
              <w:rPr>
                <w:bCs/>
                <w:sz w:val="20"/>
                <w:szCs w:val="20"/>
              </w:rPr>
              <w:t>If accepted as an urgent concurrent request</w:t>
            </w:r>
            <w:r w:rsidR="0002319A">
              <w:rPr>
                <w:bCs/>
                <w:sz w:val="20"/>
                <w:szCs w:val="20"/>
              </w:rPr>
              <w:t>:</w:t>
            </w:r>
          </w:p>
          <w:p w14:paraId="718E8864" w14:textId="57F7B790" w:rsidR="0002319A" w:rsidRPr="00FB62C9" w:rsidRDefault="0002319A" w:rsidP="00FB62C9">
            <w:pPr>
              <w:numPr>
                <w:ilvl w:val="1"/>
                <w:numId w:val="47"/>
              </w:numPr>
              <w:spacing w:after="60"/>
              <w:ind w:left="700"/>
              <w:rPr>
                <w:rStyle w:val="normaltextrun"/>
                <w:bCs/>
                <w:sz w:val="20"/>
                <w:szCs w:val="20"/>
              </w:rPr>
            </w:pPr>
            <w:r w:rsidRPr="004404AC">
              <w:rPr>
                <w:rStyle w:val="normaltextrun"/>
                <w:color w:val="000000"/>
                <w:sz w:val="20"/>
                <w:szCs w:val="20"/>
                <w:shd w:val="clear" w:color="auto" w:fill="FFFFFF"/>
              </w:rPr>
              <w:t>The</w:t>
            </w:r>
            <w:r w:rsidRPr="006913A9">
              <w:rPr>
                <w:rStyle w:val="normaltextrun"/>
                <w:color w:val="000000"/>
                <w:sz w:val="20"/>
                <w:szCs w:val="20"/>
                <w:shd w:val="clear" w:color="auto" w:fill="FFFFFF"/>
              </w:rPr>
              <w:t xml:space="preserve"> Requesting</w:t>
            </w:r>
            <w:r w:rsidRPr="004404AC">
              <w:rPr>
                <w:rStyle w:val="normaltextrun"/>
                <w:color w:val="000000"/>
                <w:sz w:val="20"/>
                <w:szCs w:val="20"/>
                <w:shd w:val="clear" w:color="auto" w:fill="FFFFFF"/>
              </w:rPr>
              <w:t xml:space="preserve"> Provider must be i</w:t>
            </w:r>
            <w:r w:rsidRPr="006913A9">
              <w:rPr>
                <w:rStyle w:val="normaltextrun"/>
                <w:color w:val="000000"/>
                <w:sz w:val="20"/>
                <w:szCs w:val="20"/>
                <w:shd w:val="clear" w:color="auto" w:fill="FFFFFF"/>
              </w:rPr>
              <w:t xml:space="preserve">nitially </w:t>
            </w:r>
            <w:r w:rsidRPr="004404AC">
              <w:rPr>
                <w:rStyle w:val="normaltextrun"/>
                <w:color w:val="000000"/>
                <w:sz w:val="20"/>
                <w:szCs w:val="20"/>
                <w:shd w:val="clear" w:color="auto" w:fill="FFFFFF"/>
              </w:rPr>
              <w:t>n</w:t>
            </w:r>
            <w:r w:rsidRPr="006913A9">
              <w:rPr>
                <w:rStyle w:val="normaltextrun"/>
                <w:color w:val="000000"/>
                <w:sz w:val="20"/>
                <w:szCs w:val="20"/>
                <w:shd w:val="clear" w:color="auto" w:fill="FFFFFF"/>
              </w:rPr>
              <w:t>otif</w:t>
            </w:r>
            <w:r w:rsidRPr="00F44150">
              <w:rPr>
                <w:rStyle w:val="normaltextrun"/>
                <w:color w:val="000000"/>
                <w:sz w:val="20"/>
                <w:szCs w:val="20"/>
                <w:shd w:val="clear" w:color="auto" w:fill="FFFFFF"/>
              </w:rPr>
              <w:t>ied o</w:t>
            </w:r>
            <w:r w:rsidRPr="00FB62C9">
              <w:rPr>
                <w:rStyle w:val="normaltextrun"/>
                <w:color w:val="000000"/>
                <w:sz w:val="20"/>
                <w:szCs w:val="20"/>
                <w:shd w:val="clear" w:color="auto" w:fill="FFFFFF"/>
              </w:rPr>
              <w:t>f the decision</w:t>
            </w:r>
            <w:r>
              <w:rPr>
                <w:rStyle w:val="normaltextrun"/>
                <w:color w:val="000000"/>
                <w:sz w:val="20"/>
                <w:szCs w:val="20"/>
                <w:shd w:val="clear" w:color="auto" w:fill="FFFFFF"/>
              </w:rPr>
              <w:t xml:space="preserve"> </w:t>
            </w:r>
            <w:r w:rsidRPr="00F44150">
              <w:rPr>
                <w:rStyle w:val="normaltextrun"/>
                <w:color w:val="000000"/>
                <w:sz w:val="20"/>
                <w:szCs w:val="20"/>
                <w:shd w:val="clear" w:color="auto" w:fill="FFFFFF"/>
              </w:rPr>
              <w:t>by</w:t>
            </w:r>
            <w:r>
              <w:rPr>
                <w:rStyle w:val="normaltextrun"/>
                <w:color w:val="000000"/>
                <w:sz w:val="20"/>
                <w:szCs w:val="20"/>
                <w:shd w:val="clear" w:color="auto" w:fill="FFFFFF"/>
              </w:rPr>
              <w:t xml:space="preserve"> phone or fax within 24 hours of the decision.</w:t>
            </w:r>
            <w:r>
              <w:rPr>
                <w:rStyle w:val="FootnoteReference"/>
                <w:color w:val="000000"/>
                <w:szCs w:val="20"/>
                <w:shd w:val="clear" w:color="auto" w:fill="FFFFFF"/>
              </w:rPr>
              <w:footnoteReference w:id="10"/>
            </w:r>
          </w:p>
          <w:p w14:paraId="6F4453D5" w14:textId="3168ECC1" w:rsidR="00FD14EE" w:rsidRPr="00403616" w:rsidRDefault="0002319A" w:rsidP="00FB62C9">
            <w:pPr>
              <w:numPr>
                <w:ilvl w:val="1"/>
                <w:numId w:val="47"/>
              </w:numPr>
              <w:spacing w:after="60"/>
              <w:ind w:left="700"/>
              <w:rPr>
                <w:bCs/>
                <w:sz w:val="20"/>
                <w:szCs w:val="20"/>
              </w:rPr>
            </w:pPr>
            <w:r w:rsidRPr="00FB62C9">
              <w:rPr>
                <w:rStyle w:val="normaltextrun"/>
                <w:color w:val="000000"/>
                <w:shd w:val="clear" w:color="auto" w:fill="FFFFFF"/>
              </w:rPr>
              <w:lastRenderedPageBreak/>
              <w:t>T</w:t>
            </w:r>
            <w:r w:rsidR="00D71BEA" w:rsidRPr="00FB62C9">
              <w:rPr>
                <w:rStyle w:val="normaltextrun"/>
                <w:color w:val="000000"/>
                <w:shd w:val="clear" w:color="auto" w:fill="FFFFFF"/>
              </w:rPr>
              <w:t>he</w:t>
            </w:r>
            <w:r w:rsidR="00D71BEA" w:rsidRPr="00A2675D">
              <w:rPr>
                <w:bCs/>
                <w:sz w:val="20"/>
                <w:szCs w:val="20"/>
              </w:rPr>
              <w:t xml:space="preserve"> Member </w:t>
            </w:r>
            <w:r w:rsidR="000373C0" w:rsidRPr="00A2675D">
              <w:rPr>
                <w:bCs/>
                <w:sz w:val="20"/>
                <w:szCs w:val="20"/>
              </w:rPr>
              <w:t xml:space="preserve">and </w:t>
            </w:r>
            <w:r>
              <w:rPr>
                <w:bCs/>
                <w:sz w:val="20"/>
                <w:szCs w:val="20"/>
              </w:rPr>
              <w:t xml:space="preserve">Requesting </w:t>
            </w:r>
            <w:r w:rsidR="000373C0" w:rsidRPr="00A2675D">
              <w:rPr>
                <w:bCs/>
                <w:sz w:val="20"/>
                <w:szCs w:val="20"/>
              </w:rPr>
              <w:t xml:space="preserve">Provider </w:t>
            </w:r>
            <w:r>
              <w:rPr>
                <w:bCs/>
                <w:sz w:val="20"/>
                <w:szCs w:val="20"/>
              </w:rPr>
              <w:t xml:space="preserve">must be notified of the decision </w:t>
            </w:r>
            <w:r w:rsidR="00CB095F">
              <w:rPr>
                <w:bCs/>
                <w:sz w:val="20"/>
                <w:szCs w:val="20"/>
              </w:rPr>
              <w:t xml:space="preserve">in writing </w:t>
            </w:r>
            <w:r>
              <w:rPr>
                <w:bCs/>
                <w:sz w:val="20"/>
                <w:szCs w:val="20"/>
              </w:rPr>
              <w:t xml:space="preserve">within </w:t>
            </w:r>
            <w:r w:rsidR="00A41367">
              <w:rPr>
                <w:bCs/>
                <w:sz w:val="20"/>
                <w:szCs w:val="20"/>
              </w:rPr>
              <w:t>72 hours of receipt of request.</w:t>
            </w:r>
            <w:r w:rsidR="000A4B93">
              <w:rPr>
                <w:rStyle w:val="FootnoteReference"/>
                <w:bCs/>
                <w:szCs w:val="20"/>
              </w:rPr>
              <w:footnoteReference w:id="11"/>
            </w:r>
          </w:p>
          <w:p w14:paraId="73ECCB55" w14:textId="35A38C8B" w:rsidR="0088507B" w:rsidRPr="006B41D9" w:rsidRDefault="00AB328B" w:rsidP="006B41D9">
            <w:pPr>
              <w:pStyle w:val="ListParagraph"/>
              <w:numPr>
                <w:ilvl w:val="0"/>
                <w:numId w:val="47"/>
              </w:numPr>
              <w:spacing w:after="60"/>
              <w:ind w:left="337"/>
              <w:rPr>
                <w:bCs/>
                <w:sz w:val="20"/>
                <w:szCs w:val="20"/>
              </w:rPr>
            </w:pPr>
            <w:r>
              <w:rPr>
                <w:bCs/>
                <w:sz w:val="20"/>
                <w:szCs w:val="20"/>
              </w:rPr>
              <w:t>For terminations, suspension, or reductions of previously authorized services, notify the Member at least ten (10) days prior to the date of the action.</w:t>
            </w:r>
            <w:r>
              <w:rPr>
                <w:rStyle w:val="FootnoteReference"/>
                <w:bCs/>
                <w:szCs w:val="20"/>
              </w:rPr>
              <w:footnoteReference w:id="12"/>
            </w:r>
          </w:p>
        </w:tc>
      </w:tr>
      <w:tr w:rsidR="00FD14EE" w:rsidRPr="00A2675D" w14:paraId="3BCC5134" w14:textId="77777777" w:rsidTr="004404AC">
        <w:tc>
          <w:tcPr>
            <w:tcW w:w="3945" w:type="dxa"/>
          </w:tcPr>
          <w:p w14:paraId="5603CED1" w14:textId="171894C3" w:rsidR="00FD14EE" w:rsidRPr="00A2675D" w:rsidRDefault="00FD14EE" w:rsidP="00FB62C9">
            <w:pPr>
              <w:spacing w:after="60"/>
              <w:rPr>
                <w:b/>
                <w:sz w:val="20"/>
                <w:szCs w:val="20"/>
              </w:rPr>
            </w:pPr>
            <w:r w:rsidRPr="00A2675D">
              <w:rPr>
                <w:b/>
                <w:sz w:val="20"/>
                <w:szCs w:val="20"/>
              </w:rPr>
              <w:lastRenderedPageBreak/>
              <w:t>Standard (Non-Urgent) Pre-Service Requests</w:t>
            </w:r>
          </w:p>
        </w:tc>
        <w:tc>
          <w:tcPr>
            <w:tcW w:w="5490" w:type="dxa"/>
          </w:tcPr>
          <w:p w14:paraId="4C1122CB" w14:textId="131C8B7F" w:rsidR="00FD14EE" w:rsidRDefault="00C87756" w:rsidP="00FB62C9">
            <w:pPr>
              <w:spacing w:after="60"/>
            </w:pPr>
            <w:r w:rsidRPr="00A2675D">
              <w:rPr>
                <w:bCs/>
                <w:sz w:val="20"/>
                <w:szCs w:val="20"/>
              </w:rPr>
              <w:t xml:space="preserve">Render a decision </w:t>
            </w:r>
            <w:r w:rsidR="0002319A">
              <w:rPr>
                <w:bCs/>
                <w:sz w:val="20"/>
                <w:szCs w:val="20"/>
              </w:rPr>
              <w:t xml:space="preserve">in a timely fashion appropriate for the nature of the Member’s condition, </w:t>
            </w:r>
            <w:r w:rsidR="00530D8E">
              <w:rPr>
                <w:bCs/>
                <w:sz w:val="20"/>
                <w:szCs w:val="20"/>
              </w:rPr>
              <w:t xml:space="preserve">but </w:t>
            </w:r>
            <w:r w:rsidR="0002319A">
              <w:rPr>
                <w:bCs/>
                <w:sz w:val="20"/>
                <w:szCs w:val="20"/>
              </w:rPr>
              <w:t>no</w:t>
            </w:r>
            <w:r w:rsidR="00530D8E">
              <w:rPr>
                <w:bCs/>
                <w:sz w:val="20"/>
                <w:szCs w:val="20"/>
              </w:rPr>
              <w:t xml:space="preserve"> longer than </w:t>
            </w:r>
            <w:r w:rsidR="00FD14EE" w:rsidRPr="00A2675D">
              <w:rPr>
                <w:bCs/>
                <w:sz w:val="20"/>
                <w:szCs w:val="20"/>
              </w:rPr>
              <w:t xml:space="preserve">five (5) business days </w:t>
            </w:r>
            <w:r w:rsidR="0002319A">
              <w:rPr>
                <w:bCs/>
                <w:sz w:val="20"/>
                <w:szCs w:val="20"/>
              </w:rPr>
              <w:t>from receipt of the information reasonably necessary and requested to make the determination</w:t>
            </w:r>
            <w:r w:rsidR="00530D8E">
              <w:rPr>
                <w:bCs/>
                <w:sz w:val="20"/>
                <w:szCs w:val="20"/>
              </w:rPr>
              <w:t>, not to exceed 14 calendar days following receipt of the request for service</w:t>
            </w:r>
            <w:r w:rsidR="00FD14EE" w:rsidRPr="00A2675D">
              <w:rPr>
                <w:bCs/>
                <w:sz w:val="20"/>
                <w:szCs w:val="20"/>
              </w:rPr>
              <w:t>.</w:t>
            </w:r>
            <w:r w:rsidR="006E5BE7" w:rsidRPr="00FB62C9">
              <w:rPr>
                <w:rStyle w:val="FootnoteReference"/>
              </w:rPr>
              <w:footnoteReference w:id="13"/>
            </w:r>
            <w:r w:rsidR="006E5BE7" w:rsidRPr="00FB62C9">
              <w:rPr>
                <w:rStyle w:val="FootnoteReference"/>
              </w:rPr>
              <w:t>,</w:t>
            </w:r>
            <w:r w:rsidR="00514C29" w:rsidRPr="00824384">
              <w:rPr>
                <w:rStyle w:val="FootnoteReference"/>
              </w:rPr>
              <w:footnoteReference w:id="14"/>
            </w:r>
          </w:p>
          <w:p w14:paraId="0EE03AF6" w14:textId="77777777" w:rsidR="00530D8E" w:rsidRDefault="00530D8E" w:rsidP="00FB62C9">
            <w:pPr>
              <w:spacing w:after="60"/>
              <w:rPr>
                <w:bCs/>
              </w:rPr>
            </w:pPr>
          </w:p>
          <w:p w14:paraId="39B522A8" w14:textId="77777777" w:rsidR="00530D8E" w:rsidRDefault="00530D8E" w:rsidP="00FB62C9">
            <w:pPr>
              <w:spacing w:after="60"/>
              <w:rPr>
                <w:bCs/>
                <w:sz w:val="20"/>
                <w:szCs w:val="20"/>
              </w:rPr>
            </w:pPr>
            <w:r>
              <w:rPr>
                <w:bCs/>
                <w:sz w:val="20"/>
                <w:szCs w:val="20"/>
              </w:rPr>
              <w:t>The initial 14 calendar day authorization timeframe may be extended by up to 14 additional days if the Member or the Provider requests an extension, or if</w:t>
            </w:r>
            <w:r w:rsidR="00EB04D7">
              <w:rPr>
                <w:bCs/>
                <w:sz w:val="20"/>
                <w:szCs w:val="20"/>
              </w:rPr>
              <w:t xml:space="preserve"> IEHP or the Delegate can justify its need for additional information and demonstrate how the extension is in the Member’s interest.</w:t>
            </w:r>
          </w:p>
          <w:p w14:paraId="6B2207AF" w14:textId="7F855905" w:rsidR="000A4B93" w:rsidRPr="00A2675D" w:rsidRDefault="000A4B93" w:rsidP="00FB62C9">
            <w:pPr>
              <w:spacing w:after="60"/>
              <w:rPr>
                <w:bCs/>
                <w:sz w:val="20"/>
                <w:szCs w:val="20"/>
              </w:rPr>
            </w:pPr>
          </w:p>
        </w:tc>
        <w:tc>
          <w:tcPr>
            <w:tcW w:w="4950" w:type="dxa"/>
          </w:tcPr>
          <w:p w14:paraId="6AB6D394" w14:textId="77777777" w:rsidR="0002319A" w:rsidRPr="001B6F6B" w:rsidRDefault="0002319A" w:rsidP="0002319A">
            <w:pPr>
              <w:numPr>
                <w:ilvl w:val="0"/>
                <w:numId w:val="47"/>
              </w:numPr>
              <w:ind w:left="346"/>
              <w:rPr>
                <w:rStyle w:val="eop"/>
                <w:color w:val="000000"/>
                <w:sz w:val="20"/>
                <w:szCs w:val="20"/>
                <w:shd w:val="clear" w:color="auto" w:fill="FFFFFF"/>
              </w:rPr>
            </w:pPr>
            <w:r w:rsidRPr="001B6F6B">
              <w:rPr>
                <w:rStyle w:val="normaltextrun"/>
                <w:color w:val="000000"/>
                <w:sz w:val="20"/>
                <w:szCs w:val="20"/>
                <w:shd w:val="clear" w:color="auto" w:fill="FFFFFF"/>
              </w:rPr>
              <w:t xml:space="preserve">The Requesting Provider must be initially notified </w:t>
            </w:r>
            <w:r w:rsidRPr="006913A9">
              <w:rPr>
                <w:rStyle w:val="normaltextrun"/>
                <w:color w:val="000000"/>
                <w:sz w:val="20"/>
                <w:szCs w:val="20"/>
                <w:shd w:val="clear" w:color="auto" w:fill="FFFFFF"/>
              </w:rPr>
              <w:t>of the decision</w:t>
            </w:r>
            <w:r w:rsidRPr="001B6F6B">
              <w:rPr>
                <w:rStyle w:val="normaltextrun"/>
                <w:color w:val="000000"/>
                <w:shd w:val="clear" w:color="auto" w:fill="FFFFFF"/>
              </w:rPr>
              <w:t xml:space="preserve"> </w:t>
            </w:r>
            <w:r w:rsidRPr="001B6F6B">
              <w:rPr>
                <w:rStyle w:val="normaltextrun"/>
                <w:color w:val="000000"/>
                <w:sz w:val="20"/>
                <w:szCs w:val="20"/>
                <w:shd w:val="clear" w:color="auto" w:fill="FFFFFF"/>
              </w:rPr>
              <w:t>by phone or fax within 24 hours of the decision.</w:t>
            </w:r>
            <w:r w:rsidRPr="001B6F6B">
              <w:rPr>
                <w:rStyle w:val="FootnoteReference"/>
                <w:color w:val="000000"/>
                <w:szCs w:val="20"/>
                <w:shd w:val="clear" w:color="auto" w:fill="FFFFFF"/>
              </w:rPr>
              <w:footnoteReference w:id="15"/>
            </w:r>
            <w:r w:rsidRPr="001B6F6B">
              <w:rPr>
                <w:rStyle w:val="eop"/>
                <w:color w:val="000000"/>
                <w:sz w:val="20"/>
                <w:szCs w:val="20"/>
                <w:shd w:val="clear" w:color="auto" w:fill="FFFFFF"/>
              </w:rPr>
              <w:t> </w:t>
            </w:r>
          </w:p>
          <w:p w14:paraId="046AA9B7" w14:textId="62493E7B" w:rsidR="00FD14EE" w:rsidRDefault="0002319A" w:rsidP="00FB62C9">
            <w:pPr>
              <w:numPr>
                <w:ilvl w:val="0"/>
                <w:numId w:val="47"/>
              </w:numPr>
              <w:ind w:left="346"/>
              <w:rPr>
                <w:color w:val="000000"/>
                <w:vertAlign w:val="superscript"/>
              </w:rPr>
            </w:pPr>
            <w:r w:rsidRPr="00FB62C9">
              <w:rPr>
                <w:rStyle w:val="normaltextrun"/>
                <w:color w:val="000000"/>
                <w:sz w:val="20"/>
                <w:szCs w:val="20"/>
                <w:shd w:val="clear" w:color="auto" w:fill="FFFFFF"/>
              </w:rPr>
              <w:t>T</w:t>
            </w:r>
            <w:r w:rsidR="00C87756" w:rsidRPr="00F44150">
              <w:rPr>
                <w:bCs/>
                <w:sz w:val="20"/>
                <w:szCs w:val="20"/>
              </w:rPr>
              <w:t>he</w:t>
            </w:r>
            <w:r>
              <w:rPr>
                <w:bCs/>
                <w:sz w:val="20"/>
                <w:szCs w:val="20"/>
              </w:rPr>
              <w:t xml:space="preserve"> Member and</w:t>
            </w:r>
            <w:r w:rsidR="00C87756" w:rsidRPr="00A2675D">
              <w:rPr>
                <w:bCs/>
                <w:sz w:val="20"/>
                <w:szCs w:val="20"/>
              </w:rPr>
              <w:t xml:space="preserve"> </w:t>
            </w:r>
            <w:r>
              <w:rPr>
                <w:bCs/>
                <w:sz w:val="20"/>
                <w:szCs w:val="20"/>
              </w:rPr>
              <w:t>R</w:t>
            </w:r>
            <w:r w:rsidRPr="00A2675D">
              <w:rPr>
                <w:bCs/>
                <w:sz w:val="20"/>
                <w:szCs w:val="20"/>
              </w:rPr>
              <w:t xml:space="preserve">equesting </w:t>
            </w:r>
            <w:r w:rsidR="00FD14EE" w:rsidRPr="00A2675D">
              <w:rPr>
                <w:bCs/>
                <w:sz w:val="20"/>
                <w:szCs w:val="20"/>
              </w:rPr>
              <w:t xml:space="preserve">Provider </w:t>
            </w:r>
            <w:r>
              <w:rPr>
                <w:bCs/>
                <w:sz w:val="20"/>
                <w:szCs w:val="20"/>
              </w:rPr>
              <w:t>must be notified of the decision</w:t>
            </w:r>
            <w:r w:rsidR="00FD14EE" w:rsidRPr="00A2675D">
              <w:rPr>
                <w:bCs/>
                <w:sz w:val="20"/>
                <w:szCs w:val="20"/>
              </w:rPr>
              <w:t xml:space="preserve"> </w:t>
            </w:r>
            <w:r w:rsidR="006B1E87" w:rsidRPr="00A2675D">
              <w:rPr>
                <w:bCs/>
                <w:sz w:val="20"/>
                <w:szCs w:val="20"/>
              </w:rPr>
              <w:t xml:space="preserve">in writing </w:t>
            </w:r>
            <w:r w:rsidR="00FD14EE" w:rsidRPr="00A2675D">
              <w:rPr>
                <w:bCs/>
                <w:sz w:val="20"/>
                <w:szCs w:val="20"/>
              </w:rPr>
              <w:t>within two (2) business days of the decision</w:t>
            </w:r>
            <w:r w:rsidR="00530D8E">
              <w:rPr>
                <w:bCs/>
                <w:sz w:val="20"/>
                <w:szCs w:val="20"/>
              </w:rPr>
              <w:t xml:space="preserve"> using the appropriate NOA template</w:t>
            </w:r>
            <w:r w:rsidR="00FD14EE" w:rsidRPr="00A2675D">
              <w:rPr>
                <w:bCs/>
                <w:sz w:val="20"/>
                <w:szCs w:val="20"/>
              </w:rPr>
              <w:t>.</w:t>
            </w:r>
            <w:r w:rsidR="006E5BE7" w:rsidRPr="00A2675D">
              <w:rPr>
                <w:rStyle w:val="FootnoteReference"/>
                <w:color w:val="000000"/>
              </w:rPr>
              <w:footnoteReference w:id="16"/>
            </w:r>
          </w:p>
          <w:p w14:paraId="288CB026" w14:textId="77777777" w:rsidR="00AB328B" w:rsidRDefault="00AB328B" w:rsidP="00AB328B">
            <w:pPr>
              <w:pStyle w:val="ListParagraph"/>
              <w:numPr>
                <w:ilvl w:val="0"/>
                <w:numId w:val="47"/>
              </w:numPr>
              <w:spacing w:after="60"/>
              <w:ind w:left="337"/>
              <w:rPr>
                <w:bCs/>
                <w:sz w:val="20"/>
                <w:szCs w:val="20"/>
              </w:rPr>
            </w:pPr>
            <w:r>
              <w:rPr>
                <w:bCs/>
                <w:sz w:val="20"/>
                <w:szCs w:val="20"/>
              </w:rPr>
              <w:t>For terminations, suspension, or reductions of previously authorized services, notify the Member at least ten (10) days prior to the date of the action.</w:t>
            </w:r>
            <w:r>
              <w:rPr>
                <w:rStyle w:val="FootnoteReference"/>
                <w:bCs/>
                <w:szCs w:val="20"/>
              </w:rPr>
              <w:footnoteReference w:id="17"/>
            </w:r>
          </w:p>
          <w:p w14:paraId="138DA3A9" w14:textId="6F2E4A9A" w:rsidR="00FF0D58" w:rsidRPr="00A2675D" w:rsidRDefault="00FF0D58" w:rsidP="00FB62C9">
            <w:pPr>
              <w:spacing w:after="60"/>
              <w:rPr>
                <w:bCs/>
                <w:sz w:val="20"/>
                <w:szCs w:val="20"/>
              </w:rPr>
            </w:pPr>
          </w:p>
        </w:tc>
      </w:tr>
      <w:tr w:rsidR="00090CDC" w:rsidRPr="00A2675D" w14:paraId="37A3E16F" w14:textId="77777777" w:rsidTr="004404AC">
        <w:tc>
          <w:tcPr>
            <w:tcW w:w="3945" w:type="dxa"/>
          </w:tcPr>
          <w:p w14:paraId="3901D8E3" w14:textId="41F49D74" w:rsidR="00090CDC" w:rsidRPr="00A2675D" w:rsidRDefault="00090CDC" w:rsidP="00FB62C9">
            <w:pPr>
              <w:spacing w:after="60"/>
              <w:rPr>
                <w:b/>
                <w:sz w:val="20"/>
                <w:szCs w:val="20"/>
              </w:rPr>
            </w:pPr>
            <w:r w:rsidRPr="00A2675D">
              <w:rPr>
                <w:b/>
                <w:sz w:val="20"/>
                <w:szCs w:val="20"/>
              </w:rPr>
              <w:t>Standard (Non-Urgent) Concurrent Requests)</w:t>
            </w:r>
          </w:p>
        </w:tc>
        <w:tc>
          <w:tcPr>
            <w:tcW w:w="5490" w:type="dxa"/>
          </w:tcPr>
          <w:p w14:paraId="7C0651C6" w14:textId="39ADDE03" w:rsidR="00090CDC" w:rsidRDefault="00C87756" w:rsidP="00FB62C9">
            <w:pPr>
              <w:spacing w:after="60"/>
            </w:pPr>
            <w:r w:rsidRPr="00A2675D">
              <w:rPr>
                <w:bCs/>
                <w:sz w:val="20"/>
                <w:szCs w:val="20"/>
              </w:rPr>
              <w:t xml:space="preserve">Render a decision </w:t>
            </w:r>
            <w:r w:rsidR="0002319A">
              <w:rPr>
                <w:bCs/>
                <w:sz w:val="20"/>
                <w:szCs w:val="20"/>
              </w:rPr>
              <w:t xml:space="preserve">in a timely fashion appropriate for the nature of the Member’s condition, </w:t>
            </w:r>
            <w:r w:rsidR="00530D8E">
              <w:rPr>
                <w:bCs/>
                <w:sz w:val="20"/>
                <w:szCs w:val="20"/>
              </w:rPr>
              <w:t xml:space="preserve">but </w:t>
            </w:r>
            <w:r w:rsidR="0002319A">
              <w:rPr>
                <w:bCs/>
                <w:sz w:val="20"/>
                <w:szCs w:val="20"/>
              </w:rPr>
              <w:t xml:space="preserve">no </w:t>
            </w:r>
            <w:r w:rsidR="00530D8E">
              <w:rPr>
                <w:bCs/>
                <w:sz w:val="20"/>
                <w:szCs w:val="20"/>
              </w:rPr>
              <w:t xml:space="preserve">longer than </w:t>
            </w:r>
            <w:r w:rsidR="00090CDC" w:rsidRPr="00A2675D">
              <w:rPr>
                <w:bCs/>
                <w:sz w:val="20"/>
                <w:szCs w:val="20"/>
              </w:rPr>
              <w:t xml:space="preserve">five (5) business days </w:t>
            </w:r>
            <w:r w:rsidR="0002319A">
              <w:rPr>
                <w:bCs/>
                <w:sz w:val="20"/>
                <w:szCs w:val="20"/>
              </w:rPr>
              <w:t xml:space="preserve">from receipt of the information reasonably necessary and </w:t>
            </w:r>
            <w:r w:rsidR="0002319A">
              <w:rPr>
                <w:bCs/>
                <w:sz w:val="20"/>
                <w:szCs w:val="20"/>
              </w:rPr>
              <w:lastRenderedPageBreak/>
              <w:t>requested to make the determination</w:t>
            </w:r>
            <w:r w:rsidR="00530D8E">
              <w:rPr>
                <w:bCs/>
                <w:sz w:val="20"/>
                <w:szCs w:val="20"/>
              </w:rPr>
              <w:t>, not to exceed 14 calendar days following receipt of the requested service</w:t>
            </w:r>
            <w:r w:rsidR="00090CDC" w:rsidRPr="00A2675D">
              <w:rPr>
                <w:bCs/>
                <w:sz w:val="20"/>
                <w:szCs w:val="20"/>
              </w:rPr>
              <w:t>.</w:t>
            </w:r>
            <w:r w:rsidR="0002319A" w:rsidRPr="006913A9">
              <w:rPr>
                <w:rStyle w:val="FootnoteReference"/>
              </w:rPr>
              <w:footnoteReference w:id="18"/>
            </w:r>
            <w:r w:rsidR="0002319A" w:rsidRPr="006913A9">
              <w:rPr>
                <w:rStyle w:val="FootnoteReference"/>
              </w:rPr>
              <w:t>,</w:t>
            </w:r>
            <w:r w:rsidR="00514C29">
              <w:rPr>
                <w:rStyle w:val="FootnoteReference"/>
              </w:rPr>
              <w:footnoteReference w:id="19"/>
            </w:r>
          </w:p>
          <w:p w14:paraId="5912EC23" w14:textId="77777777" w:rsidR="00EB04D7" w:rsidRDefault="00EB04D7" w:rsidP="00FB62C9">
            <w:pPr>
              <w:spacing w:after="60"/>
            </w:pPr>
          </w:p>
          <w:p w14:paraId="16EA5F00" w14:textId="630B3FBC" w:rsidR="00EB04D7" w:rsidRPr="00A2675D" w:rsidRDefault="00EB04D7" w:rsidP="00FB62C9">
            <w:pPr>
              <w:spacing w:after="60"/>
              <w:rPr>
                <w:bCs/>
                <w:sz w:val="20"/>
                <w:szCs w:val="20"/>
              </w:rPr>
            </w:pPr>
            <w:r>
              <w:rPr>
                <w:bCs/>
                <w:sz w:val="20"/>
                <w:szCs w:val="20"/>
              </w:rPr>
              <w:t>The initial 14 calendar day authorization timeframe may be extended by up to 14 additional days if the Member or the Provider requests an extension, or if IEHP or the Delegate can justify its need for additional information and demonstrate how the extension is in the Member’s interest.</w:t>
            </w:r>
          </w:p>
        </w:tc>
        <w:tc>
          <w:tcPr>
            <w:tcW w:w="4950" w:type="dxa"/>
          </w:tcPr>
          <w:p w14:paraId="7FE06638" w14:textId="77777777" w:rsidR="0002319A" w:rsidRDefault="0002319A" w:rsidP="0002319A">
            <w:pPr>
              <w:numPr>
                <w:ilvl w:val="0"/>
                <w:numId w:val="47"/>
              </w:numPr>
              <w:ind w:left="346"/>
              <w:rPr>
                <w:rStyle w:val="eop"/>
                <w:color w:val="000000"/>
                <w:sz w:val="20"/>
                <w:szCs w:val="20"/>
                <w:shd w:val="clear" w:color="auto" w:fill="FFFFFF"/>
              </w:rPr>
            </w:pPr>
            <w:r w:rsidRPr="001B6F6B">
              <w:rPr>
                <w:rStyle w:val="normaltextrun"/>
                <w:color w:val="000000"/>
                <w:sz w:val="20"/>
                <w:szCs w:val="20"/>
                <w:shd w:val="clear" w:color="auto" w:fill="FFFFFF"/>
              </w:rPr>
              <w:lastRenderedPageBreak/>
              <w:t xml:space="preserve">The Requesting Provider must be initially notified </w:t>
            </w:r>
            <w:r w:rsidRPr="006913A9">
              <w:rPr>
                <w:rStyle w:val="normaltextrun"/>
                <w:color w:val="000000"/>
                <w:sz w:val="20"/>
                <w:szCs w:val="20"/>
                <w:shd w:val="clear" w:color="auto" w:fill="FFFFFF"/>
              </w:rPr>
              <w:t>of the decision</w:t>
            </w:r>
            <w:r w:rsidRPr="001B6F6B">
              <w:rPr>
                <w:rStyle w:val="normaltextrun"/>
                <w:color w:val="000000"/>
                <w:shd w:val="clear" w:color="auto" w:fill="FFFFFF"/>
              </w:rPr>
              <w:t xml:space="preserve"> </w:t>
            </w:r>
            <w:r w:rsidRPr="001B6F6B">
              <w:rPr>
                <w:rStyle w:val="normaltextrun"/>
                <w:color w:val="000000"/>
                <w:sz w:val="20"/>
                <w:szCs w:val="20"/>
                <w:shd w:val="clear" w:color="auto" w:fill="FFFFFF"/>
              </w:rPr>
              <w:t>by phone or fax within 24 hours of the decision.</w:t>
            </w:r>
            <w:r w:rsidRPr="001B6F6B">
              <w:rPr>
                <w:rStyle w:val="FootnoteReference"/>
                <w:color w:val="000000"/>
                <w:szCs w:val="20"/>
                <w:shd w:val="clear" w:color="auto" w:fill="FFFFFF"/>
              </w:rPr>
              <w:footnoteReference w:id="20"/>
            </w:r>
            <w:r w:rsidRPr="001B6F6B">
              <w:rPr>
                <w:rStyle w:val="eop"/>
                <w:color w:val="000000"/>
                <w:sz w:val="20"/>
                <w:szCs w:val="20"/>
                <w:shd w:val="clear" w:color="auto" w:fill="FFFFFF"/>
              </w:rPr>
              <w:t> </w:t>
            </w:r>
          </w:p>
          <w:p w14:paraId="7DC29E73" w14:textId="0990AB0F" w:rsidR="00090CDC" w:rsidRPr="00FB62C9" w:rsidRDefault="0002319A" w:rsidP="00FB62C9">
            <w:pPr>
              <w:numPr>
                <w:ilvl w:val="0"/>
                <w:numId w:val="47"/>
              </w:numPr>
              <w:ind w:left="346"/>
              <w:rPr>
                <w:color w:val="000000"/>
                <w:sz w:val="20"/>
                <w:szCs w:val="20"/>
                <w:shd w:val="clear" w:color="auto" w:fill="FFFFFF"/>
              </w:rPr>
            </w:pPr>
            <w:r>
              <w:rPr>
                <w:bCs/>
                <w:sz w:val="20"/>
                <w:szCs w:val="20"/>
              </w:rPr>
              <w:lastRenderedPageBreak/>
              <w:t>The Member and</w:t>
            </w:r>
            <w:r w:rsidR="006B1E87" w:rsidRPr="00F44150">
              <w:rPr>
                <w:bCs/>
                <w:sz w:val="20"/>
                <w:szCs w:val="20"/>
              </w:rPr>
              <w:t xml:space="preserve"> </w:t>
            </w:r>
            <w:r>
              <w:rPr>
                <w:bCs/>
                <w:sz w:val="20"/>
                <w:szCs w:val="20"/>
              </w:rPr>
              <w:t>R</w:t>
            </w:r>
            <w:r w:rsidRPr="00F44150">
              <w:rPr>
                <w:bCs/>
                <w:sz w:val="20"/>
                <w:szCs w:val="20"/>
              </w:rPr>
              <w:t xml:space="preserve">equesting </w:t>
            </w:r>
            <w:r w:rsidR="00C87756" w:rsidRPr="00F44150">
              <w:rPr>
                <w:bCs/>
                <w:sz w:val="20"/>
                <w:szCs w:val="20"/>
              </w:rPr>
              <w:t xml:space="preserve">Provider </w:t>
            </w:r>
            <w:r>
              <w:rPr>
                <w:bCs/>
                <w:sz w:val="20"/>
                <w:szCs w:val="20"/>
              </w:rPr>
              <w:t>must be notified of the decision</w:t>
            </w:r>
            <w:r w:rsidR="00C87756" w:rsidRPr="00F44150">
              <w:rPr>
                <w:bCs/>
                <w:sz w:val="20"/>
                <w:szCs w:val="20"/>
              </w:rPr>
              <w:t xml:space="preserve"> </w:t>
            </w:r>
            <w:r w:rsidR="006B1E87" w:rsidRPr="00824384">
              <w:rPr>
                <w:bCs/>
                <w:sz w:val="20"/>
                <w:szCs w:val="20"/>
              </w:rPr>
              <w:t xml:space="preserve">in writing </w:t>
            </w:r>
            <w:r w:rsidR="00C87756" w:rsidRPr="0002319A">
              <w:rPr>
                <w:bCs/>
                <w:sz w:val="20"/>
                <w:szCs w:val="20"/>
              </w:rPr>
              <w:t>within two (2) business days of the decision</w:t>
            </w:r>
            <w:r w:rsidR="00530D8E">
              <w:rPr>
                <w:bCs/>
                <w:sz w:val="20"/>
                <w:szCs w:val="20"/>
              </w:rPr>
              <w:t xml:space="preserve"> using the appropriate NOA template</w:t>
            </w:r>
            <w:r w:rsidR="00C87756" w:rsidRPr="0002319A">
              <w:rPr>
                <w:bCs/>
                <w:sz w:val="20"/>
                <w:szCs w:val="20"/>
              </w:rPr>
              <w:t>.</w:t>
            </w:r>
            <w:r w:rsidRPr="006913A9">
              <w:rPr>
                <w:rStyle w:val="FootnoteReference"/>
              </w:rPr>
              <w:footnoteReference w:id="21"/>
            </w:r>
          </w:p>
          <w:p w14:paraId="410D8460" w14:textId="77777777" w:rsidR="006E57F7" w:rsidRDefault="006E57F7" w:rsidP="00FB62C9">
            <w:pPr>
              <w:spacing w:after="60"/>
              <w:rPr>
                <w:bCs/>
                <w:sz w:val="20"/>
                <w:szCs w:val="20"/>
              </w:rPr>
            </w:pPr>
          </w:p>
          <w:p w14:paraId="4F1227AC" w14:textId="77777777" w:rsidR="00AB328B" w:rsidRDefault="00AB328B" w:rsidP="00AB328B">
            <w:pPr>
              <w:pStyle w:val="ListParagraph"/>
              <w:numPr>
                <w:ilvl w:val="0"/>
                <w:numId w:val="47"/>
              </w:numPr>
              <w:spacing w:after="60"/>
              <w:ind w:left="337"/>
              <w:rPr>
                <w:bCs/>
                <w:sz w:val="20"/>
                <w:szCs w:val="20"/>
              </w:rPr>
            </w:pPr>
            <w:r>
              <w:rPr>
                <w:bCs/>
                <w:sz w:val="20"/>
                <w:szCs w:val="20"/>
              </w:rPr>
              <w:t>For terminations, suspension, or reductions of previously authorized services, notify the Member at least ten (10) days prior to the date of the action.</w:t>
            </w:r>
            <w:r>
              <w:rPr>
                <w:rStyle w:val="FootnoteReference"/>
                <w:bCs/>
                <w:szCs w:val="20"/>
              </w:rPr>
              <w:footnoteReference w:id="22"/>
            </w:r>
          </w:p>
          <w:p w14:paraId="384B3102" w14:textId="4968C761" w:rsidR="00FF0D58" w:rsidRPr="00F44150" w:rsidRDefault="00FF0D58" w:rsidP="00FB62C9">
            <w:pPr>
              <w:spacing w:after="60"/>
              <w:rPr>
                <w:color w:val="000000"/>
                <w:sz w:val="20"/>
                <w:szCs w:val="20"/>
                <w:shd w:val="clear" w:color="auto" w:fill="FFFFFF"/>
              </w:rPr>
            </w:pPr>
          </w:p>
        </w:tc>
      </w:tr>
      <w:tr w:rsidR="00D71BEA" w14:paraId="4C36DF14" w14:textId="77777777" w:rsidTr="004404AC">
        <w:trPr>
          <w:cantSplit/>
        </w:trPr>
        <w:tc>
          <w:tcPr>
            <w:tcW w:w="3945" w:type="dxa"/>
          </w:tcPr>
          <w:p w14:paraId="387851ED" w14:textId="5C76F334" w:rsidR="00D71BEA" w:rsidRPr="00A2675D" w:rsidRDefault="00D71BEA" w:rsidP="00FB62C9">
            <w:pPr>
              <w:spacing w:after="60"/>
              <w:rPr>
                <w:b/>
                <w:sz w:val="20"/>
                <w:szCs w:val="20"/>
              </w:rPr>
            </w:pPr>
            <w:r w:rsidRPr="00A2675D">
              <w:rPr>
                <w:b/>
                <w:sz w:val="20"/>
                <w:szCs w:val="20"/>
              </w:rPr>
              <w:lastRenderedPageBreak/>
              <w:t>Post-Service/ Retrospective Review</w:t>
            </w:r>
          </w:p>
        </w:tc>
        <w:tc>
          <w:tcPr>
            <w:tcW w:w="5490" w:type="dxa"/>
          </w:tcPr>
          <w:p w14:paraId="7AEBB953" w14:textId="5E2ADC26" w:rsidR="00D71BEA" w:rsidRPr="00F44150" w:rsidRDefault="00D71BEA" w:rsidP="00FB62C9">
            <w:pPr>
              <w:spacing w:after="60"/>
              <w:rPr>
                <w:bCs/>
                <w:sz w:val="20"/>
                <w:szCs w:val="20"/>
              </w:rPr>
            </w:pPr>
            <w:r w:rsidRPr="00A2675D">
              <w:rPr>
                <w:bCs/>
                <w:sz w:val="20"/>
                <w:szCs w:val="20"/>
              </w:rPr>
              <w:t xml:space="preserve">Render a decision within thirty (30) calendar days of receiving the </w:t>
            </w:r>
            <w:r w:rsidR="0002319A">
              <w:rPr>
                <w:bCs/>
                <w:sz w:val="20"/>
                <w:szCs w:val="20"/>
              </w:rPr>
              <w:t xml:space="preserve">information that is reasonably necessary to make </w:t>
            </w:r>
            <w:r w:rsidR="00AB328B">
              <w:rPr>
                <w:bCs/>
                <w:sz w:val="20"/>
                <w:szCs w:val="20"/>
              </w:rPr>
              <w:t xml:space="preserve">the retrospective authorization </w:t>
            </w:r>
            <w:r w:rsidR="0002319A">
              <w:rPr>
                <w:bCs/>
                <w:sz w:val="20"/>
                <w:szCs w:val="20"/>
              </w:rPr>
              <w:t>determination</w:t>
            </w:r>
            <w:r w:rsidRPr="00A2675D">
              <w:rPr>
                <w:bCs/>
                <w:sz w:val="20"/>
                <w:szCs w:val="20"/>
              </w:rPr>
              <w:t>.</w:t>
            </w:r>
            <w:r w:rsidR="008B219A" w:rsidRPr="00FB62C9">
              <w:rPr>
                <w:rStyle w:val="FootnoteReference"/>
              </w:rPr>
              <w:footnoteReference w:id="23"/>
            </w:r>
            <w:r w:rsidR="008B219A" w:rsidRPr="00FB62C9">
              <w:rPr>
                <w:rStyle w:val="FootnoteReference"/>
              </w:rPr>
              <w:t>,</w:t>
            </w:r>
            <w:r w:rsidR="008B219A" w:rsidRPr="00FB62C9">
              <w:rPr>
                <w:rStyle w:val="FootnoteReference"/>
              </w:rPr>
              <w:footnoteReference w:id="24"/>
            </w:r>
            <w:r w:rsidR="008B219A" w:rsidRPr="00FB62C9">
              <w:rPr>
                <w:rStyle w:val="FootnoteReference"/>
              </w:rPr>
              <w:t>,</w:t>
            </w:r>
            <w:r w:rsidR="008B219A" w:rsidRPr="00FB62C9">
              <w:rPr>
                <w:rStyle w:val="FootnoteReference"/>
              </w:rPr>
              <w:footnoteReference w:id="25"/>
            </w:r>
            <w:r w:rsidR="00514C29" w:rsidRPr="00FB62C9">
              <w:rPr>
                <w:rStyle w:val="FootnoteReference"/>
              </w:rPr>
              <w:t>,</w:t>
            </w:r>
            <w:r w:rsidR="00514C29" w:rsidRPr="00FB62C9">
              <w:rPr>
                <w:rStyle w:val="FootnoteReference"/>
              </w:rPr>
              <w:footnoteReference w:id="26"/>
            </w:r>
          </w:p>
        </w:tc>
        <w:tc>
          <w:tcPr>
            <w:tcW w:w="4950" w:type="dxa"/>
          </w:tcPr>
          <w:p w14:paraId="2D53A7F0" w14:textId="2D4C8D73" w:rsidR="00D71BEA" w:rsidRPr="00FB62C9" w:rsidRDefault="0002319A" w:rsidP="00FB62C9">
            <w:pPr>
              <w:numPr>
                <w:ilvl w:val="0"/>
                <w:numId w:val="47"/>
              </w:numPr>
              <w:ind w:left="346"/>
              <w:rPr>
                <w:color w:val="000000"/>
                <w:sz w:val="20"/>
                <w:szCs w:val="20"/>
                <w:shd w:val="clear" w:color="auto" w:fill="FFFFFF"/>
              </w:rPr>
            </w:pPr>
            <w:r>
              <w:rPr>
                <w:bCs/>
                <w:sz w:val="20"/>
                <w:szCs w:val="20"/>
              </w:rPr>
              <w:t>T</w:t>
            </w:r>
            <w:r w:rsidR="00CB095F" w:rsidRPr="00F44150">
              <w:rPr>
                <w:bCs/>
                <w:sz w:val="20"/>
                <w:szCs w:val="20"/>
              </w:rPr>
              <w:t>he Member and</w:t>
            </w:r>
            <w:r w:rsidR="000373C0" w:rsidRPr="00F44150">
              <w:rPr>
                <w:bCs/>
                <w:sz w:val="20"/>
                <w:szCs w:val="20"/>
              </w:rPr>
              <w:t xml:space="preserve"> Requesting Provider</w:t>
            </w:r>
            <w:r>
              <w:rPr>
                <w:bCs/>
                <w:sz w:val="20"/>
                <w:szCs w:val="20"/>
              </w:rPr>
              <w:t xml:space="preserve"> </w:t>
            </w:r>
            <w:r w:rsidRPr="00FB62C9">
              <w:rPr>
                <w:bCs/>
                <w:sz w:val="20"/>
                <w:szCs w:val="20"/>
              </w:rPr>
              <w:t>must be notified of the decision</w:t>
            </w:r>
            <w:r w:rsidR="000373C0" w:rsidRPr="00F44150">
              <w:rPr>
                <w:bCs/>
                <w:sz w:val="20"/>
                <w:szCs w:val="20"/>
              </w:rPr>
              <w:t xml:space="preserve"> in writing within thirty (30) calendar days of receiving the </w:t>
            </w:r>
            <w:r w:rsidR="00AB328B">
              <w:rPr>
                <w:bCs/>
                <w:sz w:val="20"/>
                <w:szCs w:val="20"/>
              </w:rPr>
              <w:t>information that is reasonably necessary to make the retrospective authorization determination</w:t>
            </w:r>
            <w:r w:rsidR="000373C0" w:rsidRPr="00F44150">
              <w:rPr>
                <w:bCs/>
                <w:sz w:val="20"/>
                <w:szCs w:val="20"/>
              </w:rPr>
              <w:t>.</w:t>
            </w:r>
            <w:r w:rsidR="008B219A" w:rsidRPr="00FB62C9">
              <w:rPr>
                <w:rStyle w:val="FootnoteReference"/>
              </w:rPr>
              <w:footnoteReference w:id="27"/>
            </w:r>
            <w:r w:rsidR="00FF0D58" w:rsidRPr="00FB62C9">
              <w:rPr>
                <w:rStyle w:val="FootnoteReference"/>
              </w:rPr>
              <w:t>,</w:t>
            </w:r>
            <w:r w:rsidR="00FF0D58" w:rsidRPr="00FB62C9">
              <w:rPr>
                <w:rStyle w:val="FootnoteReference"/>
              </w:rPr>
              <w:footnoteReference w:id="28"/>
            </w:r>
            <w:r w:rsidR="00F44150" w:rsidRPr="00FB62C9">
              <w:rPr>
                <w:rStyle w:val="FootnoteReference"/>
              </w:rPr>
              <w:t>,</w:t>
            </w:r>
            <w:r w:rsidR="00F44150" w:rsidRPr="00FB62C9">
              <w:rPr>
                <w:rStyle w:val="FootnoteReference"/>
              </w:rPr>
              <w:footnoteReference w:id="29"/>
            </w:r>
          </w:p>
          <w:p w14:paraId="4031A940" w14:textId="3DBD96EC" w:rsidR="006B1E87" w:rsidRDefault="006B1E87" w:rsidP="00FB62C9">
            <w:pPr>
              <w:spacing w:after="60"/>
              <w:rPr>
                <w:bCs/>
                <w:sz w:val="20"/>
                <w:szCs w:val="20"/>
              </w:rPr>
            </w:pPr>
          </w:p>
        </w:tc>
      </w:tr>
    </w:tbl>
    <w:p w14:paraId="308A3D85" w14:textId="77777777" w:rsidR="0025688E" w:rsidRDefault="0025688E">
      <w:pPr>
        <w:rPr>
          <w:sz w:val="20"/>
          <w:szCs w:val="20"/>
        </w:rPr>
      </w:pPr>
    </w:p>
    <w:sectPr w:rsidR="0025688E" w:rsidSect="004404AC">
      <w:headerReference w:type="default" r:id="rId8"/>
      <w:footerReference w:type="default" r:id="rId9"/>
      <w:pgSz w:w="15840" w:h="12240" w:orient="landscape" w:code="1"/>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B945" w14:textId="77777777" w:rsidR="00EF7529" w:rsidRDefault="00EF7529">
      <w:r>
        <w:separator/>
      </w:r>
    </w:p>
  </w:endnote>
  <w:endnote w:type="continuationSeparator" w:id="0">
    <w:p w14:paraId="1D94B08B" w14:textId="77777777" w:rsidR="00EF7529" w:rsidRDefault="00EF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D664" w14:textId="4677CCA1" w:rsidR="00222CE6" w:rsidRDefault="00851020" w:rsidP="00090CDC">
    <w:pPr>
      <w:pStyle w:val="Footer"/>
      <w:jc w:val="right"/>
      <w:rPr>
        <w:sz w:val="16"/>
        <w:szCs w:val="16"/>
      </w:rPr>
    </w:pPr>
    <w:r>
      <w:rPr>
        <w:sz w:val="16"/>
        <w:szCs w:val="16"/>
      </w:rPr>
      <w:tab/>
    </w:r>
    <w:r>
      <w:rPr>
        <w:sz w:val="16"/>
        <w:szCs w:val="16"/>
      </w:rPr>
      <w:tab/>
    </w:r>
    <w:r w:rsidRPr="00851020">
      <w:rPr>
        <w:rStyle w:val="PageNumber"/>
      </w:rPr>
      <w:t xml:space="preserve">Page </w:t>
    </w:r>
    <w:r w:rsidR="00BF2068" w:rsidRPr="00851020">
      <w:rPr>
        <w:rStyle w:val="PageNumber"/>
      </w:rPr>
      <w:fldChar w:fldCharType="begin"/>
    </w:r>
    <w:r w:rsidRPr="00851020">
      <w:rPr>
        <w:rStyle w:val="PageNumber"/>
      </w:rPr>
      <w:instrText xml:space="preserve"> PAGE </w:instrText>
    </w:r>
    <w:r w:rsidR="00BF2068" w:rsidRPr="00851020">
      <w:rPr>
        <w:rStyle w:val="PageNumber"/>
      </w:rPr>
      <w:fldChar w:fldCharType="separate"/>
    </w:r>
    <w:r w:rsidR="00F17A94">
      <w:rPr>
        <w:rStyle w:val="PageNumber"/>
        <w:noProof/>
      </w:rPr>
      <w:t>5</w:t>
    </w:r>
    <w:r w:rsidR="00BF2068" w:rsidRPr="00851020">
      <w:rPr>
        <w:rStyle w:val="PageNumber"/>
      </w:rPr>
      <w:fldChar w:fldCharType="end"/>
    </w:r>
    <w:r w:rsidRPr="00851020">
      <w:rPr>
        <w:rStyle w:val="PageNumber"/>
      </w:rPr>
      <w:t xml:space="preserve"> of </w:t>
    </w:r>
    <w:r w:rsidR="00BF2068" w:rsidRPr="00851020">
      <w:rPr>
        <w:rStyle w:val="PageNumber"/>
      </w:rPr>
      <w:fldChar w:fldCharType="begin"/>
    </w:r>
    <w:r w:rsidRPr="00851020">
      <w:rPr>
        <w:rStyle w:val="PageNumber"/>
      </w:rPr>
      <w:instrText xml:space="preserve"> NUMPAGES </w:instrText>
    </w:r>
    <w:r w:rsidR="00BF2068" w:rsidRPr="00851020">
      <w:rPr>
        <w:rStyle w:val="PageNumber"/>
      </w:rPr>
      <w:fldChar w:fldCharType="separate"/>
    </w:r>
    <w:r w:rsidR="00F17A94">
      <w:rPr>
        <w:rStyle w:val="PageNumber"/>
        <w:noProof/>
      </w:rPr>
      <w:t>5</w:t>
    </w:r>
    <w:r w:rsidR="00BF2068" w:rsidRPr="008510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1B0D" w14:textId="77777777" w:rsidR="00EF7529" w:rsidRDefault="00EF7529">
      <w:r>
        <w:separator/>
      </w:r>
    </w:p>
  </w:footnote>
  <w:footnote w:type="continuationSeparator" w:id="0">
    <w:p w14:paraId="66475286" w14:textId="77777777" w:rsidR="00EF7529" w:rsidRDefault="00EF7529">
      <w:r>
        <w:continuationSeparator/>
      </w:r>
    </w:p>
  </w:footnote>
  <w:footnote w:id="1">
    <w:p w14:paraId="77F8C616" w14:textId="77777777" w:rsidR="004404AC" w:rsidRPr="00824384" w:rsidRDefault="004404AC" w:rsidP="005F527A">
      <w:pPr>
        <w:pStyle w:val="FootnoteText"/>
      </w:pPr>
      <w:r w:rsidRPr="00F44150">
        <w:rPr>
          <w:rStyle w:val="FootnoteReference"/>
        </w:rPr>
        <w:footnoteRef/>
      </w:r>
      <w:r w:rsidRPr="00F44150">
        <w:t xml:space="preserve"> California Health and Safety Code (Health &amp; </w:t>
      </w:r>
      <w:proofErr w:type="spellStart"/>
      <w:r w:rsidRPr="00F44150">
        <w:t>Saf</w:t>
      </w:r>
      <w:proofErr w:type="spellEnd"/>
      <w:r w:rsidRPr="00F44150">
        <w:t>. Code) § 1367.01(h)(2)</w:t>
      </w:r>
    </w:p>
  </w:footnote>
  <w:footnote w:id="2">
    <w:p w14:paraId="598BEBD6" w14:textId="77777777" w:rsidR="004404AC" w:rsidRPr="00F44150" w:rsidRDefault="004404AC" w:rsidP="004404AC">
      <w:pPr>
        <w:pStyle w:val="FootnoteText"/>
      </w:pPr>
      <w:r w:rsidRPr="00F44150">
        <w:rPr>
          <w:rStyle w:val="FootnoteReference"/>
        </w:rPr>
        <w:footnoteRef/>
      </w:r>
      <w:r w:rsidRPr="00F44150">
        <w:t xml:space="preserve"> Ibid.</w:t>
      </w:r>
    </w:p>
  </w:footnote>
  <w:footnote w:id="3">
    <w:p w14:paraId="67E35512" w14:textId="77777777" w:rsidR="004404AC" w:rsidRPr="00F44150" w:rsidRDefault="004404AC" w:rsidP="004404AC">
      <w:pPr>
        <w:pStyle w:val="FootnoteText"/>
      </w:pPr>
      <w:r w:rsidRPr="00F44150">
        <w:rPr>
          <w:rStyle w:val="FootnoteReference"/>
        </w:rPr>
        <w:footnoteRef/>
      </w:r>
      <w:r w:rsidRPr="00F44150">
        <w:t xml:space="preserve"> Department of Health Care Services (DHCS</w:t>
      </w:r>
      <w:r w:rsidRPr="00824384">
        <w:t>)</w:t>
      </w:r>
      <w:r w:rsidRPr="00F44150">
        <w:t>-IEHP Two Plan Contract, 1/10/20 (Final Rule A27), Exhibit A, Attachment 5, Provision 3, Timeframes for Medical Authorization</w:t>
      </w:r>
    </w:p>
  </w:footnote>
  <w:footnote w:id="4">
    <w:p w14:paraId="05C461F3" w14:textId="117C5E55" w:rsidR="004404AC" w:rsidRPr="00F44150" w:rsidRDefault="004404AC" w:rsidP="004404AC">
      <w:pPr>
        <w:pStyle w:val="FootnoteText"/>
      </w:pPr>
      <w:r w:rsidRPr="00F44150">
        <w:rPr>
          <w:rStyle w:val="FootnoteReference"/>
        </w:rPr>
        <w:footnoteRef/>
      </w:r>
      <w:r w:rsidRPr="00F44150">
        <w:t xml:space="preserve"> CA Health &amp; </w:t>
      </w:r>
      <w:proofErr w:type="spellStart"/>
      <w:r w:rsidRPr="00F44150">
        <w:t>Saf</w:t>
      </w:r>
      <w:proofErr w:type="spellEnd"/>
      <w:r w:rsidRPr="00F44150">
        <w:t>. Code §</w:t>
      </w:r>
      <w:r w:rsidR="00F44150" w:rsidRPr="00FB62C9">
        <w:t xml:space="preserve"> </w:t>
      </w:r>
      <w:r w:rsidRPr="00F44150">
        <w:t>1367.01(h)(3)</w:t>
      </w:r>
      <w:r w:rsidR="0002319A" w:rsidRPr="00F44150">
        <w:t xml:space="preserve"> &amp; (4)</w:t>
      </w:r>
    </w:p>
  </w:footnote>
  <w:footnote w:id="5">
    <w:p w14:paraId="54F61A29" w14:textId="6CDB40FA" w:rsidR="00FF0D58" w:rsidRPr="00F44150" w:rsidRDefault="00FF0D58">
      <w:pPr>
        <w:pStyle w:val="FootnoteText"/>
      </w:pPr>
      <w:r w:rsidRPr="00F44150">
        <w:rPr>
          <w:rStyle w:val="FootnoteReference"/>
        </w:rPr>
        <w:footnoteRef/>
      </w:r>
      <w:r w:rsidRPr="00F44150">
        <w:t xml:space="preserve"> </w:t>
      </w:r>
      <w:r w:rsidR="00F44150" w:rsidRPr="00FB62C9">
        <w:t xml:space="preserve">CA Health &amp; </w:t>
      </w:r>
      <w:proofErr w:type="spellStart"/>
      <w:r w:rsidR="00F44150" w:rsidRPr="00FB62C9">
        <w:t>Saf</w:t>
      </w:r>
      <w:proofErr w:type="spellEnd"/>
      <w:r w:rsidR="00F44150" w:rsidRPr="00FB62C9">
        <w:t>. Code §</w:t>
      </w:r>
      <w:r w:rsidR="009047DF">
        <w:t xml:space="preserve"> </w:t>
      </w:r>
      <w:r w:rsidR="00F44150" w:rsidRPr="00FB62C9">
        <w:t>1367.01(h)(</w:t>
      </w:r>
      <w:r w:rsidR="00490932">
        <w:t>3</w:t>
      </w:r>
      <w:r w:rsidR="00F44150" w:rsidRPr="00FB62C9">
        <w:t>)</w:t>
      </w:r>
    </w:p>
  </w:footnote>
  <w:footnote w:id="6">
    <w:p w14:paraId="68A348BF" w14:textId="15A184A7" w:rsidR="00AB328B" w:rsidRDefault="00AB328B">
      <w:pPr>
        <w:pStyle w:val="FootnoteText"/>
      </w:pPr>
      <w:r>
        <w:rPr>
          <w:rStyle w:val="FootnoteReference"/>
        </w:rPr>
        <w:footnoteRef/>
      </w:r>
      <w:r>
        <w:t xml:space="preserve"> 42 CFR § 438.404(c)(1)</w:t>
      </w:r>
    </w:p>
    <w:p w14:paraId="706AB7A8" w14:textId="58F04609" w:rsidR="00DE1869" w:rsidRDefault="00DE1869">
      <w:pPr>
        <w:pStyle w:val="FootnoteText"/>
      </w:pPr>
      <w:r>
        <w:rPr>
          <w:rStyle w:val="FootnoteReference"/>
        </w:rPr>
        <w:t>7</w:t>
      </w:r>
      <w:r>
        <w:t xml:space="preserve"> </w:t>
      </w:r>
      <w:r w:rsidRPr="00F44150">
        <w:t>CA</w:t>
      </w:r>
      <w:r w:rsidRPr="00FB62C9">
        <w:t xml:space="preserve"> </w:t>
      </w:r>
      <w:r w:rsidRPr="00F44150">
        <w:t xml:space="preserve">Health &amp; </w:t>
      </w:r>
      <w:proofErr w:type="spellStart"/>
      <w:r w:rsidRPr="00F44150">
        <w:t>Saf</w:t>
      </w:r>
      <w:proofErr w:type="spellEnd"/>
      <w:r w:rsidRPr="00F44150">
        <w:t xml:space="preserve">. Code § </w:t>
      </w:r>
      <w:r w:rsidRPr="00824384">
        <w:t>1367.01(h)(</w:t>
      </w:r>
      <w:r>
        <w:t>3</w:t>
      </w:r>
      <w:r w:rsidRPr="00824384">
        <w:t>)</w:t>
      </w:r>
    </w:p>
  </w:footnote>
  <w:footnote w:id="7">
    <w:p w14:paraId="3BA0785C" w14:textId="12E8294D" w:rsidR="004404AC" w:rsidRPr="00F44150" w:rsidRDefault="004404AC" w:rsidP="004404AC">
      <w:pPr>
        <w:pStyle w:val="FootnoteText"/>
      </w:pPr>
    </w:p>
  </w:footnote>
  <w:footnote w:id="8">
    <w:p w14:paraId="773D6AC6" w14:textId="3F2D7C1E" w:rsidR="004404AC" w:rsidRPr="00F44150" w:rsidRDefault="004404AC" w:rsidP="004404AC">
      <w:pPr>
        <w:pStyle w:val="FootnoteText"/>
      </w:pPr>
      <w:r w:rsidRPr="00F44150">
        <w:rPr>
          <w:rStyle w:val="FootnoteReference"/>
        </w:rPr>
        <w:footnoteRef/>
      </w:r>
      <w:r w:rsidRPr="00F44150">
        <w:t xml:space="preserve"> CA Health &amp; </w:t>
      </w:r>
      <w:proofErr w:type="spellStart"/>
      <w:r w:rsidRPr="00F44150">
        <w:t>Saf</w:t>
      </w:r>
      <w:proofErr w:type="spellEnd"/>
      <w:r w:rsidRPr="00F44150">
        <w:t>. Code §</w:t>
      </w:r>
      <w:r w:rsidR="00F44150" w:rsidRPr="00FB62C9">
        <w:t xml:space="preserve"> </w:t>
      </w:r>
      <w:r w:rsidRPr="00F44150">
        <w:t>1367.01(h)(2)</w:t>
      </w:r>
    </w:p>
  </w:footnote>
  <w:footnote w:id="9">
    <w:p w14:paraId="0A362704" w14:textId="4544F720" w:rsidR="004404AC" w:rsidRPr="00F44150" w:rsidRDefault="004404AC" w:rsidP="004404AC">
      <w:pPr>
        <w:pStyle w:val="FootnoteText"/>
      </w:pPr>
      <w:r w:rsidRPr="00F44150">
        <w:rPr>
          <w:rStyle w:val="FootnoteReference"/>
        </w:rPr>
        <w:footnoteRef/>
      </w:r>
      <w:r w:rsidRPr="00F44150">
        <w:t xml:space="preserve"> DHCS-IEHP Two Plan Contract, 1/10/20 (Final Rule A27), Exhibit A, Attachment 5, Provision 3, </w:t>
      </w:r>
      <w:r w:rsidRPr="00824384">
        <w:t>Timeframes for Medical Authorization</w:t>
      </w:r>
    </w:p>
  </w:footnote>
  <w:footnote w:id="10">
    <w:p w14:paraId="2D8FC8B1" w14:textId="1F1E7EE0" w:rsidR="0002319A" w:rsidRPr="00824384" w:rsidRDefault="0002319A" w:rsidP="0002319A">
      <w:pPr>
        <w:pStyle w:val="FootnoteText"/>
      </w:pPr>
      <w:r w:rsidRPr="00F44150">
        <w:rPr>
          <w:rStyle w:val="FootnoteReference"/>
        </w:rPr>
        <w:footnoteRef/>
      </w:r>
      <w:r w:rsidRPr="00F44150">
        <w:t xml:space="preserve"> CA Health &amp; </w:t>
      </w:r>
      <w:proofErr w:type="spellStart"/>
      <w:r w:rsidRPr="00F44150">
        <w:t>Saf</w:t>
      </w:r>
      <w:proofErr w:type="spellEnd"/>
      <w:r w:rsidRPr="00F44150">
        <w:t>. Code §1367.01(h)(3) &amp; (4)</w:t>
      </w:r>
    </w:p>
  </w:footnote>
  <w:footnote w:id="11">
    <w:p w14:paraId="52384888" w14:textId="6F853C85" w:rsidR="000A4B93" w:rsidRDefault="000A4B93">
      <w:pPr>
        <w:pStyle w:val="FootnoteText"/>
      </w:pPr>
      <w:r>
        <w:rPr>
          <w:rStyle w:val="FootnoteReference"/>
        </w:rPr>
        <w:footnoteRef/>
      </w:r>
      <w:r>
        <w:t xml:space="preserve"> </w:t>
      </w:r>
      <w:r w:rsidR="00DE1869" w:rsidRPr="00F44150">
        <w:t xml:space="preserve">CA Health &amp; </w:t>
      </w:r>
      <w:proofErr w:type="spellStart"/>
      <w:r w:rsidR="00DE1869" w:rsidRPr="00F44150">
        <w:t>Saf</w:t>
      </w:r>
      <w:proofErr w:type="spellEnd"/>
      <w:r w:rsidR="00DE1869" w:rsidRPr="00F44150">
        <w:t>. Code §1367.01(h)(3) &amp; (4)</w:t>
      </w:r>
    </w:p>
  </w:footnote>
  <w:footnote w:id="12">
    <w:p w14:paraId="48C6FAFC" w14:textId="77777777" w:rsidR="00AB328B" w:rsidRDefault="00AB328B" w:rsidP="00AB328B">
      <w:pPr>
        <w:pStyle w:val="FootnoteText"/>
      </w:pPr>
      <w:r>
        <w:rPr>
          <w:rStyle w:val="FootnoteReference"/>
        </w:rPr>
        <w:footnoteRef/>
      </w:r>
      <w:r>
        <w:t xml:space="preserve"> 42 CFR § 438.404(c)(1)</w:t>
      </w:r>
    </w:p>
  </w:footnote>
  <w:footnote w:id="13">
    <w:p w14:paraId="02411DB2" w14:textId="6C9EEB25" w:rsidR="006E5BE7" w:rsidRPr="00F44150" w:rsidRDefault="006E5BE7" w:rsidP="006E5BE7">
      <w:pPr>
        <w:pStyle w:val="FootnoteText"/>
      </w:pPr>
      <w:r w:rsidRPr="00F44150">
        <w:rPr>
          <w:rStyle w:val="FootnoteReference"/>
        </w:rPr>
        <w:footnoteRef/>
      </w:r>
      <w:r w:rsidRPr="00F44150">
        <w:t xml:space="preserve"> CA Health &amp; </w:t>
      </w:r>
      <w:proofErr w:type="spellStart"/>
      <w:r w:rsidRPr="00F44150">
        <w:t>Saf</w:t>
      </w:r>
      <w:proofErr w:type="spellEnd"/>
      <w:r w:rsidRPr="00F44150">
        <w:t>. Code § 1367.01</w:t>
      </w:r>
      <w:r w:rsidR="00FF0D58" w:rsidRPr="00F44150">
        <w:t>(h)(1)</w:t>
      </w:r>
    </w:p>
  </w:footnote>
  <w:footnote w:id="14">
    <w:p w14:paraId="5C9FE7DB" w14:textId="30BE8F77" w:rsidR="00514C29" w:rsidRPr="00F44150" w:rsidRDefault="00514C29">
      <w:pPr>
        <w:pStyle w:val="FootnoteText"/>
      </w:pPr>
      <w:r w:rsidRPr="00F44150">
        <w:rPr>
          <w:rStyle w:val="FootnoteReference"/>
        </w:rPr>
        <w:footnoteRef/>
      </w:r>
      <w:r w:rsidRPr="00F44150">
        <w:t xml:space="preserve"> DHCS-IEHP Two Plan Contract, 1/10/20 (Final Rule A27), Exhibit A, Attachment 5, Provision 3, Timeframes for Medical Authorization</w:t>
      </w:r>
    </w:p>
  </w:footnote>
  <w:footnote w:id="15">
    <w:p w14:paraId="02DFBD98" w14:textId="0C499EFE" w:rsidR="0002319A" w:rsidRPr="00F44150" w:rsidRDefault="0002319A" w:rsidP="0002319A">
      <w:pPr>
        <w:pStyle w:val="FootnoteText"/>
      </w:pPr>
      <w:r w:rsidRPr="00F44150">
        <w:rPr>
          <w:rStyle w:val="FootnoteReference"/>
        </w:rPr>
        <w:footnoteRef/>
      </w:r>
      <w:r w:rsidRPr="00F44150">
        <w:t xml:space="preserve"> CA Health &amp; </w:t>
      </w:r>
      <w:proofErr w:type="spellStart"/>
      <w:r w:rsidRPr="00F44150">
        <w:t>Saf</w:t>
      </w:r>
      <w:proofErr w:type="spellEnd"/>
      <w:r w:rsidRPr="00F44150">
        <w:t>. Code §</w:t>
      </w:r>
      <w:r w:rsidR="00F44150" w:rsidRPr="00FB62C9">
        <w:t xml:space="preserve"> </w:t>
      </w:r>
      <w:r w:rsidRPr="00F44150">
        <w:t>1367.01(h)(3) &amp; (4)</w:t>
      </w:r>
    </w:p>
  </w:footnote>
  <w:footnote w:id="16">
    <w:p w14:paraId="6BB5623C" w14:textId="601C37F2" w:rsidR="006E5BE7" w:rsidRPr="00F44150" w:rsidRDefault="006E5BE7" w:rsidP="006E5BE7">
      <w:pPr>
        <w:pStyle w:val="FootnoteText"/>
      </w:pPr>
      <w:r w:rsidRPr="00F44150">
        <w:rPr>
          <w:rStyle w:val="FootnoteReference"/>
        </w:rPr>
        <w:footnoteRef/>
      </w:r>
      <w:r w:rsidRPr="00F44150">
        <w:t xml:space="preserve"> CA Health &amp; </w:t>
      </w:r>
      <w:proofErr w:type="spellStart"/>
      <w:r w:rsidRPr="00F44150">
        <w:t>Saf</w:t>
      </w:r>
      <w:proofErr w:type="spellEnd"/>
      <w:r w:rsidRPr="00F44150">
        <w:t>. Code § 1367.01</w:t>
      </w:r>
      <w:r w:rsidR="00610817" w:rsidRPr="00F44150">
        <w:t>(h)(3)</w:t>
      </w:r>
    </w:p>
  </w:footnote>
  <w:footnote w:id="17">
    <w:p w14:paraId="384E6F5B" w14:textId="10037E52" w:rsidR="00AB328B" w:rsidRDefault="00AB328B" w:rsidP="00AB328B">
      <w:pPr>
        <w:pStyle w:val="FootnoteText"/>
      </w:pPr>
      <w:r>
        <w:rPr>
          <w:rStyle w:val="FootnoteReference"/>
        </w:rPr>
        <w:footnoteRef/>
      </w:r>
      <w:r>
        <w:t xml:space="preserve"> 42 CFR § 438.404(c)(1)</w:t>
      </w:r>
    </w:p>
    <w:p w14:paraId="7111BC98" w14:textId="77777777" w:rsidR="00DE1869" w:rsidRDefault="00DE1869" w:rsidP="00AB328B">
      <w:pPr>
        <w:pStyle w:val="FootnoteText"/>
      </w:pPr>
    </w:p>
  </w:footnote>
  <w:footnote w:id="18">
    <w:p w14:paraId="65650BA6" w14:textId="77777777" w:rsidR="0002319A" w:rsidRPr="00F44150" w:rsidRDefault="0002319A" w:rsidP="0002319A">
      <w:pPr>
        <w:pStyle w:val="FootnoteText"/>
      </w:pPr>
      <w:r w:rsidRPr="00F44150">
        <w:rPr>
          <w:rStyle w:val="FootnoteReference"/>
        </w:rPr>
        <w:footnoteRef/>
      </w:r>
      <w:r w:rsidRPr="00F44150">
        <w:t xml:space="preserve"> CA Health &amp; </w:t>
      </w:r>
      <w:proofErr w:type="spellStart"/>
      <w:r w:rsidRPr="00F44150">
        <w:t>Saf</w:t>
      </w:r>
      <w:proofErr w:type="spellEnd"/>
      <w:r w:rsidRPr="00F44150">
        <w:t>. Code § 1367.01(h)(1)</w:t>
      </w:r>
    </w:p>
  </w:footnote>
  <w:footnote w:id="19">
    <w:p w14:paraId="2852E45D" w14:textId="284B3FEC" w:rsidR="00514C29" w:rsidRDefault="00514C29">
      <w:pPr>
        <w:pStyle w:val="FootnoteText"/>
      </w:pPr>
      <w:r w:rsidRPr="00F44150">
        <w:rPr>
          <w:rStyle w:val="FootnoteReference"/>
        </w:rPr>
        <w:footnoteRef/>
      </w:r>
      <w:r w:rsidRPr="00F44150">
        <w:t xml:space="preserve"> DHCS-IEHP Two Plan Contract, 1/10/20 (Final Rule A27), Exhibit A, Attachment 5, Provision 3, Timeframes for Medical Authorization</w:t>
      </w:r>
    </w:p>
    <w:p w14:paraId="69E01ADF" w14:textId="4B3C8626" w:rsidR="00DE1869" w:rsidRPr="00F44150" w:rsidRDefault="00DE1869">
      <w:pPr>
        <w:pStyle w:val="FootnoteText"/>
      </w:pPr>
      <w:r w:rsidRPr="006B41D9">
        <w:rPr>
          <w:vertAlign w:val="superscript"/>
        </w:rPr>
        <w:t>20</w:t>
      </w:r>
      <w:r>
        <w:rPr>
          <w:vertAlign w:val="superscript"/>
        </w:rPr>
        <w:t xml:space="preserve"> </w:t>
      </w:r>
      <w:r w:rsidRPr="00F44150">
        <w:t xml:space="preserve">CA Health &amp; </w:t>
      </w:r>
      <w:proofErr w:type="spellStart"/>
      <w:r w:rsidRPr="00F44150">
        <w:t>Saf</w:t>
      </w:r>
      <w:proofErr w:type="spellEnd"/>
      <w:r w:rsidRPr="00F44150">
        <w:t>. Code §1367.01(h)(3) &amp; (4)</w:t>
      </w:r>
    </w:p>
  </w:footnote>
  <w:footnote w:id="20">
    <w:p w14:paraId="7694B749" w14:textId="656FBA71" w:rsidR="0002319A" w:rsidRPr="00824384" w:rsidRDefault="0002319A" w:rsidP="0002319A">
      <w:pPr>
        <w:pStyle w:val="FootnoteText"/>
      </w:pPr>
    </w:p>
  </w:footnote>
  <w:footnote w:id="21">
    <w:p w14:paraId="7361FECA" w14:textId="159ED308" w:rsidR="0002319A" w:rsidRDefault="0002319A" w:rsidP="0002319A">
      <w:pPr>
        <w:pStyle w:val="FootnoteText"/>
      </w:pPr>
      <w:r w:rsidRPr="00F44150">
        <w:rPr>
          <w:rStyle w:val="FootnoteReference"/>
        </w:rPr>
        <w:footnoteRef/>
      </w:r>
      <w:r w:rsidRPr="00F44150">
        <w:t xml:space="preserve"> </w:t>
      </w:r>
      <w:r w:rsidR="00F44150" w:rsidRPr="00FB62C9">
        <w:t xml:space="preserve">CA Health &amp; </w:t>
      </w:r>
      <w:proofErr w:type="spellStart"/>
      <w:r w:rsidR="00F44150" w:rsidRPr="00FB62C9">
        <w:t>Saf</w:t>
      </w:r>
      <w:proofErr w:type="spellEnd"/>
      <w:r w:rsidR="00F44150" w:rsidRPr="00FB62C9">
        <w:t>. Code § 1367.01(h)(3)</w:t>
      </w:r>
    </w:p>
  </w:footnote>
  <w:footnote w:id="22">
    <w:p w14:paraId="0688D31F" w14:textId="77777777" w:rsidR="00AB328B" w:rsidRDefault="00AB328B" w:rsidP="00AB328B">
      <w:pPr>
        <w:pStyle w:val="FootnoteText"/>
      </w:pPr>
      <w:r>
        <w:rPr>
          <w:rStyle w:val="FootnoteReference"/>
        </w:rPr>
        <w:footnoteRef/>
      </w:r>
      <w:r>
        <w:t xml:space="preserve"> 42 CFR § 438.404(c)(1)</w:t>
      </w:r>
    </w:p>
  </w:footnote>
  <w:footnote w:id="23">
    <w:p w14:paraId="7AC71320" w14:textId="71425FA6" w:rsidR="008B219A" w:rsidRPr="00F44150" w:rsidRDefault="008B219A" w:rsidP="009B7B5B">
      <w:pPr>
        <w:pStyle w:val="FootnoteText"/>
      </w:pPr>
      <w:r w:rsidRPr="00824384">
        <w:rPr>
          <w:rStyle w:val="FootnoteReference"/>
        </w:rPr>
        <w:footnoteRef/>
      </w:r>
      <w:r w:rsidRPr="00824384">
        <w:t xml:space="preserve"> CA Health &amp; </w:t>
      </w:r>
      <w:proofErr w:type="spellStart"/>
      <w:r w:rsidRPr="00824384">
        <w:t>Saf</w:t>
      </w:r>
      <w:proofErr w:type="spellEnd"/>
      <w:r w:rsidRPr="00824384">
        <w:t>. Code § 1367.01</w:t>
      </w:r>
      <w:r w:rsidR="00FF0D58" w:rsidRPr="00F44150">
        <w:t>(h)(1)</w:t>
      </w:r>
    </w:p>
  </w:footnote>
  <w:footnote w:id="24">
    <w:p w14:paraId="4235BC6B" w14:textId="77777777" w:rsidR="008B219A" w:rsidRPr="00F44150" w:rsidRDefault="008B219A" w:rsidP="008B219A">
      <w:pPr>
        <w:pStyle w:val="FootnoteText"/>
      </w:pPr>
      <w:r w:rsidRPr="00824384">
        <w:rPr>
          <w:rStyle w:val="FootnoteReference"/>
        </w:rPr>
        <w:footnoteRef/>
      </w:r>
      <w:r w:rsidRPr="00824384">
        <w:t xml:space="preserve"> </w:t>
      </w:r>
      <w:r w:rsidRPr="00F44150">
        <w:t>DHCS-IEHP Two Plan Contract, 1/10/20 (Final Rule A27), Exhibit A, Attachment 5, Provision 3, Timeframes for Medical Authorization</w:t>
      </w:r>
    </w:p>
  </w:footnote>
  <w:footnote w:id="25">
    <w:p w14:paraId="228A3036" w14:textId="6BF34BC6" w:rsidR="008B219A" w:rsidRPr="00F44150" w:rsidRDefault="008B219A" w:rsidP="008B219A">
      <w:pPr>
        <w:pStyle w:val="FootnoteText"/>
      </w:pPr>
      <w:r w:rsidRPr="00824384">
        <w:rPr>
          <w:rStyle w:val="FootnoteReference"/>
        </w:rPr>
        <w:footnoteRef/>
      </w:r>
      <w:r w:rsidRPr="00824384">
        <w:t xml:space="preserve"> </w:t>
      </w:r>
      <w:r w:rsidR="00514C29" w:rsidRPr="00F44150">
        <w:t>National Committee for Quality Assurance (</w:t>
      </w:r>
      <w:r w:rsidRPr="00F44150">
        <w:t>NCQA</w:t>
      </w:r>
      <w:r w:rsidR="00514C29" w:rsidRPr="00F44150">
        <w:t>)</w:t>
      </w:r>
      <w:r w:rsidRPr="00F44150">
        <w:t xml:space="preserve">, </w:t>
      </w:r>
      <w:r w:rsidR="000A4B93">
        <w:t>2022</w:t>
      </w:r>
      <w:r w:rsidR="000A4B93" w:rsidRPr="00F44150">
        <w:t xml:space="preserve"> </w:t>
      </w:r>
      <w:r w:rsidR="00514C29" w:rsidRPr="00F44150">
        <w:t xml:space="preserve">Health Plan </w:t>
      </w:r>
      <w:r w:rsidRPr="00F44150">
        <w:t xml:space="preserve">Standards and Guidelines, UM 5, Element </w:t>
      </w:r>
      <w:r w:rsidR="00514C29" w:rsidRPr="00F44150">
        <w:t>A</w:t>
      </w:r>
      <w:r w:rsidRPr="00F44150">
        <w:t>, Factor 5</w:t>
      </w:r>
    </w:p>
  </w:footnote>
  <w:footnote w:id="26">
    <w:p w14:paraId="215B7C0E" w14:textId="6FAEE150" w:rsidR="00514C29" w:rsidRPr="00F44150" w:rsidRDefault="00514C29">
      <w:pPr>
        <w:pStyle w:val="FootnoteText"/>
      </w:pPr>
      <w:r w:rsidRPr="00824384">
        <w:rPr>
          <w:rStyle w:val="FootnoteReference"/>
        </w:rPr>
        <w:footnoteRef/>
      </w:r>
      <w:r w:rsidRPr="00824384">
        <w:t xml:space="preserve"> NCQA, </w:t>
      </w:r>
      <w:r w:rsidR="000A4B93">
        <w:t>2022</w:t>
      </w:r>
      <w:r w:rsidR="000A4B93" w:rsidRPr="00824384">
        <w:t xml:space="preserve"> </w:t>
      </w:r>
      <w:r w:rsidRPr="00824384">
        <w:t>HP Standards and Guidelines, UM 5, Element B, Fact</w:t>
      </w:r>
      <w:r w:rsidRPr="00F44150">
        <w:t>or 5</w:t>
      </w:r>
    </w:p>
  </w:footnote>
  <w:footnote w:id="27">
    <w:p w14:paraId="56BE553D" w14:textId="3EA495B2" w:rsidR="008B219A" w:rsidRPr="00F44150" w:rsidRDefault="008B219A" w:rsidP="008B219A">
      <w:pPr>
        <w:pStyle w:val="FootnoteText"/>
      </w:pPr>
      <w:r w:rsidRPr="00824384">
        <w:rPr>
          <w:rStyle w:val="FootnoteReference"/>
        </w:rPr>
        <w:footnoteRef/>
      </w:r>
      <w:r w:rsidRPr="00824384">
        <w:t xml:space="preserve"> </w:t>
      </w:r>
      <w:r w:rsidR="00F44150" w:rsidRPr="00F44150">
        <w:t xml:space="preserve">CA Health &amp; </w:t>
      </w:r>
      <w:proofErr w:type="spellStart"/>
      <w:r w:rsidR="00F44150" w:rsidRPr="00F44150">
        <w:t>Saf</w:t>
      </w:r>
      <w:proofErr w:type="spellEnd"/>
      <w:r w:rsidR="00F44150" w:rsidRPr="00F44150">
        <w:t>. Code § 1367.01(h)(1)</w:t>
      </w:r>
      <w:r w:rsidR="00F44150" w:rsidRPr="00F44150" w:rsidDel="00F44150">
        <w:t xml:space="preserve"> </w:t>
      </w:r>
    </w:p>
  </w:footnote>
  <w:footnote w:id="28">
    <w:p w14:paraId="266BA110" w14:textId="6483D435" w:rsidR="00FF0D58" w:rsidRPr="00F44150" w:rsidRDefault="00FF0D58">
      <w:pPr>
        <w:pStyle w:val="FootnoteText"/>
      </w:pPr>
      <w:r w:rsidRPr="00824384">
        <w:rPr>
          <w:rStyle w:val="FootnoteReference"/>
        </w:rPr>
        <w:footnoteRef/>
      </w:r>
      <w:r w:rsidRPr="00824384">
        <w:t xml:space="preserve"> </w:t>
      </w:r>
      <w:r w:rsidR="00F44150" w:rsidRPr="00FB62C9">
        <w:t>DHCS-IEHP Two Plan Contract, 1/10/20 (Final Rule A27), Exhibit A, Attachment 5, Provision 3, Timeframes for Medical Authorization</w:t>
      </w:r>
      <w:r w:rsidR="00F44150" w:rsidRPr="00824384" w:rsidDel="00F44150">
        <w:t xml:space="preserve"> </w:t>
      </w:r>
    </w:p>
  </w:footnote>
  <w:footnote w:id="29">
    <w:p w14:paraId="4DCA86C2" w14:textId="2306B9F8" w:rsidR="00F44150" w:rsidRDefault="00F44150">
      <w:pPr>
        <w:pStyle w:val="FootnoteText"/>
      </w:pPr>
      <w:r w:rsidRPr="00824384">
        <w:rPr>
          <w:rStyle w:val="FootnoteReference"/>
        </w:rPr>
        <w:footnoteRef/>
      </w:r>
      <w:r w:rsidRPr="00824384">
        <w:t xml:space="preserve"> </w:t>
      </w:r>
      <w:r w:rsidRPr="00FB62C9">
        <w:t xml:space="preserve">NCQA, </w:t>
      </w:r>
      <w:r w:rsidR="000A4B93">
        <w:t>2022</w:t>
      </w:r>
      <w:r w:rsidR="000A4B93" w:rsidRPr="00FB62C9">
        <w:t xml:space="preserve"> </w:t>
      </w:r>
      <w:r w:rsidRPr="00FB62C9">
        <w:t xml:space="preserve">HP Standards and Guidelines, UM 5, Element B, Factor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AE0E" w14:textId="19BD8890" w:rsidR="00A06571" w:rsidRPr="00F17A94" w:rsidRDefault="00B82424" w:rsidP="009F0EBB">
    <w:pPr>
      <w:jc w:val="right"/>
      <w:rPr>
        <w:sz w:val="20"/>
        <w:szCs w:val="20"/>
      </w:rPr>
    </w:pPr>
    <w:r w:rsidRPr="00F17A94">
      <w:rPr>
        <w:sz w:val="20"/>
        <w:szCs w:val="20"/>
      </w:rPr>
      <w:t>Attachment 14</w:t>
    </w:r>
    <w:r w:rsidR="009F0EBB" w:rsidRPr="00F17A94">
      <w:rPr>
        <w:sz w:val="20"/>
        <w:szCs w:val="20"/>
      </w:rPr>
      <w:t xml:space="preserve"> - </w:t>
    </w:r>
    <w:r w:rsidR="00A06571" w:rsidRPr="009412BE">
      <w:rPr>
        <w:sz w:val="20"/>
        <w:szCs w:val="20"/>
      </w:rPr>
      <w:t xml:space="preserve">UM Timeliness Standards </w:t>
    </w:r>
    <w:r w:rsidR="0088641F" w:rsidRPr="009412BE">
      <w:rPr>
        <w:sz w:val="20"/>
        <w:szCs w:val="20"/>
      </w:rPr>
      <w:t>–</w:t>
    </w:r>
    <w:r w:rsidR="00A06571" w:rsidRPr="009412BE">
      <w:rPr>
        <w:sz w:val="20"/>
        <w:szCs w:val="20"/>
      </w:rPr>
      <w:t xml:space="preserve"> </w:t>
    </w:r>
    <w:r w:rsidR="00FB5648">
      <w:rPr>
        <w:sz w:val="20"/>
        <w:szCs w:val="20"/>
      </w:rPr>
      <w:t>Medi-Cal</w:t>
    </w:r>
  </w:p>
  <w:p w14:paraId="42D76A4D" w14:textId="77777777" w:rsidR="0088507B" w:rsidRDefault="0088507B">
    <w:pPr>
      <w:jc w:val="center"/>
      <w:rPr>
        <w:b/>
        <w:color w:val="FF0000"/>
      </w:rPr>
    </w:pPr>
  </w:p>
  <w:p w14:paraId="4DD824BA" w14:textId="20445899" w:rsidR="00222CE6" w:rsidRDefault="00222CE6">
    <w:pPr>
      <w:jc w:val="center"/>
      <w:rPr>
        <w:b/>
      </w:rPr>
    </w:pPr>
    <w:r>
      <w:rPr>
        <w:b/>
      </w:rPr>
      <w:t>Utilization Management Timeliness Standards</w:t>
    </w:r>
    <w:r w:rsidR="00051D61">
      <w:rPr>
        <w:b/>
      </w:rPr>
      <w:t xml:space="preserve"> </w:t>
    </w:r>
  </w:p>
  <w:p w14:paraId="152F7E15" w14:textId="77777777" w:rsidR="00222CE6" w:rsidRDefault="0022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A3A"/>
    <w:multiLevelType w:val="hybridMultilevel"/>
    <w:tmpl w:val="0B4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E17"/>
    <w:multiLevelType w:val="hybridMultilevel"/>
    <w:tmpl w:val="13DAFC34"/>
    <w:lvl w:ilvl="0" w:tplc="04090003">
      <w:start w:val="1"/>
      <w:numFmt w:val="bullet"/>
      <w:lvlText w:val="o"/>
      <w:lvlJc w:val="left"/>
      <w:pPr>
        <w:tabs>
          <w:tab w:val="num" w:pos="706"/>
        </w:tabs>
        <w:ind w:left="706" w:hanging="360"/>
      </w:pPr>
      <w:rPr>
        <w:rFonts w:ascii="Courier New" w:hAnsi="Courier New" w:cs="Courier New" w:hint="default"/>
        <w:b w:val="0"/>
        <w:i w:val="0"/>
        <w:color w:val="auto"/>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2" w15:restartNumberingAfterBreak="0">
    <w:nsid w:val="055B3155"/>
    <w:multiLevelType w:val="hybridMultilevel"/>
    <w:tmpl w:val="9C84FB40"/>
    <w:lvl w:ilvl="0" w:tplc="7F6CBFE6">
      <w:numFmt w:val="bullet"/>
      <w:lvlText w:val=""/>
      <w:lvlJc w:val="left"/>
      <w:pPr>
        <w:tabs>
          <w:tab w:val="num" w:pos="705"/>
        </w:tabs>
        <w:ind w:left="705" w:hanging="360"/>
      </w:pPr>
      <w:rPr>
        <w:rFonts w:ascii="Symbol" w:eastAsia="Times New Roman" w:hAnsi="Symbol" w:hint="default"/>
        <w:b w:val="0"/>
        <w:i w:val="0"/>
        <w:color w:val="auto"/>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15:restartNumberingAfterBreak="0">
    <w:nsid w:val="061C2005"/>
    <w:multiLevelType w:val="hybridMultilevel"/>
    <w:tmpl w:val="7F2898BC"/>
    <w:lvl w:ilvl="0" w:tplc="A5EE4C14">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9D7D19"/>
    <w:multiLevelType w:val="hybridMultilevel"/>
    <w:tmpl w:val="0D3C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1D5286"/>
    <w:multiLevelType w:val="hybridMultilevel"/>
    <w:tmpl w:val="D206AF1A"/>
    <w:lvl w:ilvl="0" w:tplc="04090011">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6" w15:restartNumberingAfterBreak="0">
    <w:nsid w:val="14012F71"/>
    <w:multiLevelType w:val="hybridMultilevel"/>
    <w:tmpl w:val="68E6A20E"/>
    <w:lvl w:ilvl="0" w:tplc="04090001">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6A7C4E"/>
    <w:multiLevelType w:val="hybridMultilevel"/>
    <w:tmpl w:val="27C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5DCB"/>
    <w:multiLevelType w:val="hybridMultilevel"/>
    <w:tmpl w:val="7CB6D5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82687"/>
    <w:multiLevelType w:val="hybridMultilevel"/>
    <w:tmpl w:val="E67003D6"/>
    <w:lvl w:ilvl="0" w:tplc="04090005">
      <w:start w:val="1"/>
      <w:numFmt w:val="bullet"/>
      <w:lvlText w:val=""/>
      <w:lvlJc w:val="left"/>
      <w:pPr>
        <w:tabs>
          <w:tab w:val="num" w:pos="435"/>
        </w:tabs>
        <w:ind w:left="435" w:hanging="360"/>
      </w:pPr>
      <w:rPr>
        <w:rFonts w:ascii="Wingdings" w:hAnsi="Wingdings"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22084CCF"/>
    <w:multiLevelType w:val="hybridMultilevel"/>
    <w:tmpl w:val="59F4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0E67"/>
    <w:multiLevelType w:val="hybridMultilevel"/>
    <w:tmpl w:val="7A188B82"/>
    <w:lvl w:ilvl="0" w:tplc="04090005">
      <w:start w:val="1"/>
      <w:numFmt w:val="bullet"/>
      <w:lvlText w:val=""/>
      <w:lvlJc w:val="left"/>
      <w:pPr>
        <w:tabs>
          <w:tab w:val="num" w:pos="360"/>
        </w:tabs>
        <w:ind w:left="360" w:hanging="360"/>
      </w:pPr>
      <w:rPr>
        <w:rFonts w:ascii="Wingdings" w:hAnsi="Wingdings" w:hint="default"/>
        <w:color w:val="auto"/>
      </w:rPr>
    </w:lvl>
    <w:lvl w:ilvl="1" w:tplc="7F6CBFE6">
      <w:numFmt w:val="bullet"/>
      <w:lvlText w:val=""/>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746804"/>
    <w:multiLevelType w:val="hybridMultilevel"/>
    <w:tmpl w:val="4EE2CE3C"/>
    <w:lvl w:ilvl="0" w:tplc="04090003">
      <w:start w:val="1"/>
      <w:numFmt w:val="bullet"/>
      <w:lvlText w:val="o"/>
      <w:lvlJc w:val="left"/>
      <w:pPr>
        <w:tabs>
          <w:tab w:val="num" w:pos="706"/>
        </w:tabs>
        <w:ind w:left="706" w:hanging="360"/>
      </w:pPr>
      <w:rPr>
        <w:rFonts w:ascii="Courier New" w:hAnsi="Courier New" w:cs="Courier New" w:hint="default"/>
        <w:b w:val="0"/>
        <w:i w:val="0"/>
        <w:color w:val="auto"/>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3" w15:restartNumberingAfterBreak="0">
    <w:nsid w:val="322A3BD5"/>
    <w:multiLevelType w:val="hybridMultilevel"/>
    <w:tmpl w:val="A5CC13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58D4"/>
    <w:multiLevelType w:val="hybridMultilevel"/>
    <w:tmpl w:val="E39A4B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E26DC"/>
    <w:multiLevelType w:val="hybridMultilevel"/>
    <w:tmpl w:val="DCFAEA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7F256E"/>
    <w:multiLevelType w:val="hybridMultilevel"/>
    <w:tmpl w:val="5372A9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4B3348"/>
    <w:multiLevelType w:val="hybridMultilevel"/>
    <w:tmpl w:val="026C5F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F83025"/>
    <w:multiLevelType w:val="hybridMultilevel"/>
    <w:tmpl w:val="5FBE66CE"/>
    <w:lvl w:ilvl="0" w:tplc="7F6CBFE6">
      <w:numFmt w:val="bullet"/>
      <w:lvlText w:val=""/>
      <w:lvlJc w:val="left"/>
      <w:pPr>
        <w:tabs>
          <w:tab w:val="num" w:pos="720"/>
        </w:tabs>
        <w:ind w:left="720" w:hanging="360"/>
      </w:pPr>
      <w:rPr>
        <w:rFonts w:ascii="Symbol" w:eastAsia="Times New Roman" w:hAnsi="Symbol" w:hint="default"/>
        <w:color w:val="auto"/>
      </w:rPr>
    </w:lvl>
    <w:lvl w:ilvl="1" w:tplc="7F6CBFE6">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F3499"/>
    <w:multiLevelType w:val="hybridMultilevel"/>
    <w:tmpl w:val="2DA440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2F33BB"/>
    <w:multiLevelType w:val="hybridMultilevel"/>
    <w:tmpl w:val="89F2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26E6A"/>
    <w:multiLevelType w:val="hybridMultilevel"/>
    <w:tmpl w:val="51BC13EE"/>
    <w:lvl w:ilvl="0" w:tplc="7F6CBFE6">
      <w:numFmt w:val="bullet"/>
      <w:lvlText w:val=""/>
      <w:lvlJc w:val="left"/>
      <w:pPr>
        <w:tabs>
          <w:tab w:val="num" w:pos="720"/>
        </w:tabs>
        <w:ind w:left="720" w:hanging="360"/>
      </w:pPr>
      <w:rPr>
        <w:rFonts w:ascii="Symbol" w:eastAsia="Times New Roman" w:hAnsi="Symbol" w:hint="default"/>
        <w:color w:val="auto"/>
      </w:rPr>
    </w:lvl>
    <w:lvl w:ilvl="1" w:tplc="7F6CBFE6">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84329"/>
    <w:multiLevelType w:val="hybridMultilevel"/>
    <w:tmpl w:val="5A2CA0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EB6070"/>
    <w:multiLevelType w:val="hybridMultilevel"/>
    <w:tmpl w:val="E56E557E"/>
    <w:lvl w:ilvl="0" w:tplc="04090011">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BF2434"/>
    <w:multiLevelType w:val="hybridMultilevel"/>
    <w:tmpl w:val="3D34890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49243532"/>
    <w:multiLevelType w:val="hybridMultilevel"/>
    <w:tmpl w:val="A5763FF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84680"/>
    <w:multiLevelType w:val="hybridMultilevel"/>
    <w:tmpl w:val="3BAA7556"/>
    <w:lvl w:ilvl="0" w:tplc="04090005">
      <w:start w:val="1"/>
      <w:numFmt w:val="bullet"/>
      <w:lvlText w:val=""/>
      <w:lvlJc w:val="left"/>
      <w:pPr>
        <w:tabs>
          <w:tab w:val="num" w:pos="360"/>
        </w:tabs>
        <w:ind w:left="360" w:hanging="360"/>
      </w:pPr>
      <w:rPr>
        <w:rFonts w:ascii="Wingdings" w:hAnsi="Wingdings" w:hint="default"/>
      </w:rPr>
    </w:lvl>
    <w:lvl w:ilvl="1" w:tplc="DE2A6DF4">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607BA"/>
    <w:multiLevelType w:val="hybridMultilevel"/>
    <w:tmpl w:val="3D821D68"/>
    <w:lvl w:ilvl="0" w:tplc="A5EE4C14">
      <w:start w:val="1"/>
      <w:numFmt w:val="bullet"/>
      <w:lvlText w:val=""/>
      <w:lvlJc w:val="left"/>
      <w:pPr>
        <w:tabs>
          <w:tab w:val="num" w:pos="1440"/>
        </w:tabs>
        <w:ind w:left="144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1C09F7"/>
    <w:multiLevelType w:val="hybridMultilevel"/>
    <w:tmpl w:val="19DE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91599"/>
    <w:multiLevelType w:val="hybridMultilevel"/>
    <w:tmpl w:val="5930F300"/>
    <w:lvl w:ilvl="0" w:tplc="04090011">
      <w:start w:val="1"/>
      <w:numFmt w:val="decimal"/>
      <w:lvlText w:val="%1)"/>
      <w:lvlJc w:val="left"/>
      <w:pPr>
        <w:tabs>
          <w:tab w:val="num" w:pos="720"/>
        </w:tabs>
        <w:ind w:left="720" w:hanging="360"/>
      </w:pPr>
      <w:rPr>
        <w:rFonts w:hint="default"/>
      </w:rPr>
    </w:lvl>
    <w:lvl w:ilvl="1" w:tplc="7F6CBFE6">
      <w:numFmt w:val="bullet"/>
      <w:lvlText w:val=""/>
      <w:lvlJc w:val="left"/>
      <w:pPr>
        <w:tabs>
          <w:tab w:val="num" w:pos="1440"/>
        </w:tabs>
        <w:ind w:left="1440" w:hanging="360"/>
      </w:pPr>
      <w:rPr>
        <w:rFonts w:ascii="Symbol" w:eastAsia="Times New Roman"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F14A7D"/>
    <w:multiLevelType w:val="hybridMultilevel"/>
    <w:tmpl w:val="9E1C2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6D51"/>
    <w:multiLevelType w:val="hybridMultilevel"/>
    <w:tmpl w:val="042A348A"/>
    <w:lvl w:ilvl="0" w:tplc="A5EE4C14">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646CA"/>
    <w:multiLevelType w:val="multilevel"/>
    <w:tmpl w:val="3D821D68"/>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F4F1B"/>
    <w:multiLevelType w:val="hybridMultilevel"/>
    <w:tmpl w:val="096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12A0C"/>
    <w:multiLevelType w:val="hybridMultilevel"/>
    <w:tmpl w:val="94B4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208C0"/>
    <w:multiLevelType w:val="hybridMultilevel"/>
    <w:tmpl w:val="C582827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D5073"/>
    <w:multiLevelType w:val="hybridMultilevel"/>
    <w:tmpl w:val="35021B10"/>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1596C"/>
    <w:multiLevelType w:val="hybridMultilevel"/>
    <w:tmpl w:val="94B4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84B8C"/>
    <w:multiLevelType w:val="hybridMultilevel"/>
    <w:tmpl w:val="0D328578"/>
    <w:lvl w:ilvl="0" w:tplc="A5EE4C14">
      <w:start w:val="1"/>
      <w:numFmt w:val="bullet"/>
      <w:lvlText w:val=""/>
      <w:lvlJc w:val="left"/>
      <w:pPr>
        <w:tabs>
          <w:tab w:val="num" w:pos="612"/>
        </w:tabs>
        <w:ind w:left="612" w:hanging="360"/>
      </w:pPr>
      <w:rPr>
        <w:rFonts w:ascii="Wingdings" w:hAnsi="Wingdings" w:hint="default"/>
        <w:color w:val="auto"/>
        <w:sz w:val="20"/>
      </w:rPr>
    </w:lvl>
    <w:lvl w:ilvl="1" w:tplc="04090003">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cs="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cs="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39" w15:restartNumberingAfterBreak="0">
    <w:nsid w:val="6CDA37D5"/>
    <w:multiLevelType w:val="hybridMultilevel"/>
    <w:tmpl w:val="17685E1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D1804BF"/>
    <w:multiLevelType w:val="hybridMultilevel"/>
    <w:tmpl w:val="5B40100A"/>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B622A"/>
    <w:multiLevelType w:val="hybridMultilevel"/>
    <w:tmpl w:val="7F6A70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B12109"/>
    <w:multiLevelType w:val="hybridMultilevel"/>
    <w:tmpl w:val="6A44196C"/>
    <w:lvl w:ilvl="0" w:tplc="2D962B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34C01"/>
    <w:multiLevelType w:val="hybridMultilevel"/>
    <w:tmpl w:val="0BE6DA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025EBE"/>
    <w:multiLevelType w:val="hybridMultilevel"/>
    <w:tmpl w:val="46DAA79E"/>
    <w:lvl w:ilvl="0" w:tplc="7F6CBFE6">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407F18"/>
    <w:multiLevelType w:val="hybridMultilevel"/>
    <w:tmpl w:val="3F064816"/>
    <w:lvl w:ilvl="0" w:tplc="24EA6886">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365"/>
        </w:tabs>
        <w:ind w:left="1365" w:hanging="360"/>
      </w:pPr>
      <w:rPr>
        <w:rFonts w:ascii="Wingdings" w:hAnsi="Wingding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6" w15:restartNumberingAfterBreak="0">
    <w:nsid w:val="7E723384"/>
    <w:multiLevelType w:val="hybridMultilevel"/>
    <w:tmpl w:val="F9468420"/>
    <w:lvl w:ilvl="0" w:tplc="04090005">
      <w:start w:val="1"/>
      <w:numFmt w:val="bullet"/>
      <w:lvlText w:val=""/>
      <w:lvlJc w:val="left"/>
      <w:pPr>
        <w:tabs>
          <w:tab w:val="num" w:pos="360"/>
        </w:tabs>
        <w:ind w:left="360" w:hanging="360"/>
      </w:pPr>
      <w:rPr>
        <w:rFonts w:ascii="Wingdings" w:hAnsi="Wingdings"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FB1522"/>
    <w:multiLevelType w:val="hybridMultilevel"/>
    <w:tmpl w:val="D10C3C94"/>
    <w:lvl w:ilvl="0" w:tplc="7F6CBFE6">
      <w:numFmt w:val="bullet"/>
      <w:lvlText w:val=""/>
      <w:lvlJc w:val="left"/>
      <w:pPr>
        <w:tabs>
          <w:tab w:val="num" w:pos="720"/>
        </w:tabs>
        <w:ind w:left="720" w:hanging="360"/>
      </w:pPr>
      <w:rPr>
        <w:rFonts w:ascii="Symbol" w:eastAsia="Times New Roman" w:hAnsi="Symbol" w:hint="default"/>
        <w:b w:val="0"/>
        <w:i w:val="0"/>
        <w:color w:val="auto"/>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16cid:durableId="574320979">
    <w:abstractNumId w:val="45"/>
  </w:num>
  <w:num w:numId="2" w16cid:durableId="1961761071">
    <w:abstractNumId w:val="8"/>
  </w:num>
  <w:num w:numId="3" w16cid:durableId="2019654469">
    <w:abstractNumId w:val="29"/>
  </w:num>
  <w:num w:numId="4" w16cid:durableId="333460490">
    <w:abstractNumId w:val="5"/>
  </w:num>
  <w:num w:numId="5" w16cid:durableId="646203787">
    <w:abstractNumId w:val="16"/>
  </w:num>
  <w:num w:numId="6" w16cid:durableId="1464154431">
    <w:abstractNumId w:val="1"/>
  </w:num>
  <w:num w:numId="7" w16cid:durableId="53819844">
    <w:abstractNumId w:val="26"/>
  </w:num>
  <w:num w:numId="8" w16cid:durableId="1691106167">
    <w:abstractNumId w:val="44"/>
  </w:num>
  <w:num w:numId="9" w16cid:durableId="1318463227">
    <w:abstractNumId w:val="36"/>
  </w:num>
  <w:num w:numId="10" w16cid:durableId="2075545385">
    <w:abstractNumId w:val="2"/>
  </w:num>
  <w:num w:numId="11" w16cid:durableId="1629356558">
    <w:abstractNumId w:val="40"/>
  </w:num>
  <w:num w:numId="12" w16cid:durableId="123542857">
    <w:abstractNumId w:val="9"/>
  </w:num>
  <w:num w:numId="13" w16cid:durableId="683827826">
    <w:abstractNumId w:val="11"/>
  </w:num>
  <w:num w:numId="14" w16cid:durableId="943732193">
    <w:abstractNumId w:val="18"/>
  </w:num>
  <w:num w:numId="15" w16cid:durableId="2103140110">
    <w:abstractNumId w:val="47"/>
  </w:num>
  <w:num w:numId="16" w16cid:durableId="56754956">
    <w:abstractNumId w:val="39"/>
  </w:num>
  <w:num w:numId="17" w16cid:durableId="1278368336">
    <w:abstractNumId w:val="43"/>
  </w:num>
  <w:num w:numId="18" w16cid:durableId="1978728636">
    <w:abstractNumId w:val="19"/>
  </w:num>
  <w:num w:numId="19" w16cid:durableId="467010681">
    <w:abstractNumId w:val="17"/>
  </w:num>
  <w:num w:numId="20" w16cid:durableId="2112774812">
    <w:abstractNumId w:val="41"/>
  </w:num>
  <w:num w:numId="21" w16cid:durableId="1376126391">
    <w:abstractNumId w:val="46"/>
  </w:num>
  <w:num w:numId="22" w16cid:durableId="1491435460">
    <w:abstractNumId w:val="24"/>
  </w:num>
  <w:num w:numId="23" w16cid:durableId="1674991695">
    <w:abstractNumId w:val="23"/>
  </w:num>
  <w:num w:numId="24" w16cid:durableId="964893135">
    <w:abstractNumId w:val="21"/>
  </w:num>
  <w:num w:numId="25" w16cid:durableId="360981661">
    <w:abstractNumId w:val="27"/>
  </w:num>
  <w:num w:numId="26" w16cid:durableId="506678022">
    <w:abstractNumId w:val="32"/>
  </w:num>
  <w:num w:numId="27" w16cid:durableId="1457524142">
    <w:abstractNumId w:val="38"/>
  </w:num>
  <w:num w:numId="28" w16cid:durableId="478881433">
    <w:abstractNumId w:val="31"/>
  </w:num>
  <w:num w:numId="29" w16cid:durableId="1692758106">
    <w:abstractNumId w:val="3"/>
  </w:num>
  <w:num w:numId="30" w16cid:durableId="1504278173">
    <w:abstractNumId w:val="13"/>
  </w:num>
  <w:num w:numId="31" w16cid:durableId="939989848">
    <w:abstractNumId w:val="4"/>
  </w:num>
  <w:num w:numId="32" w16cid:durableId="459230273">
    <w:abstractNumId w:val="7"/>
  </w:num>
  <w:num w:numId="33" w16cid:durableId="1607542462">
    <w:abstractNumId w:val="25"/>
  </w:num>
  <w:num w:numId="34" w16cid:durableId="881593511">
    <w:abstractNumId w:val="6"/>
  </w:num>
  <w:num w:numId="35" w16cid:durableId="1724789371">
    <w:abstractNumId w:val="30"/>
  </w:num>
  <w:num w:numId="36" w16cid:durableId="1841770428">
    <w:abstractNumId w:val="28"/>
  </w:num>
  <w:num w:numId="37" w16cid:durableId="191580971">
    <w:abstractNumId w:val="12"/>
  </w:num>
  <w:num w:numId="38" w16cid:durableId="828055277">
    <w:abstractNumId w:val="20"/>
  </w:num>
  <w:num w:numId="39" w16cid:durableId="1344286728">
    <w:abstractNumId w:val="0"/>
  </w:num>
  <w:num w:numId="40" w16cid:durableId="200172164">
    <w:abstractNumId w:val="22"/>
  </w:num>
  <w:num w:numId="41" w16cid:durableId="1351687278">
    <w:abstractNumId w:val="37"/>
  </w:num>
  <w:num w:numId="42" w16cid:durableId="104422997">
    <w:abstractNumId w:val="15"/>
  </w:num>
  <w:num w:numId="43" w16cid:durableId="1322277233">
    <w:abstractNumId w:val="42"/>
  </w:num>
  <w:num w:numId="44" w16cid:durableId="99183976">
    <w:abstractNumId w:val="14"/>
  </w:num>
  <w:num w:numId="45" w16cid:durableId="915744428">
    <w:abstractNumId w:val="34"/>
  </w:num>
  <w:num w:numId="46" w16cid:durableId="1622616620">
    <w:abstractNumId w:val="10"/>
  </w:num>
  <w:num w:numId="47" w16cid:durableId="479931128">
    <w:abstractNumId w:val="35"/>
  </w:num>
  <w:num w:numId="48" w16cid:durableId="21378703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trackRevisions/>
  <w:defaultTabStop w:val="720"/>
  <w:noPunctuationKerning/>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EB"/>
    <w:rsid w:val="00003F5A"/>
    <w:rsid w:val="000040F3"/>
    <w:rsid w:val="0002319A"/>
    <w:rsid w:val="000373C0"/>
    <w:rsid w:val="00051D61"/>
    <w:rsid w:val="00060E69"/>
    <w:rsid w:val="0008171E"/>
    <w:rsid w:val="00090CDC"/>
    <w:rsid w:val="000A4B93"/>
    <w:rsid w:val="000B4172"/>
    <w:rsid w:val="000C0ACA"/>
    <w:rsid w:val="000D23D0"/>
    <w:rsid w:val="000E2158"/>
    <w:rsid w:val="000E382E"/>
    <w:rsid w:val="00116313"/>
    <w:rsid w:val="00122DAB"/>
    <w:rsid w:val="001332AE"/>
    <w:rsid w:val="00137C54"/>
    <w:rsid w:val="00167E06"/>
    <w:rsid w:val="001858BD"/>
    <w:rsid w:val="00191D89"/>
    <w:rsid w:val="001962CA"/>
    <w:rsid w:val="001A094A"/>
    <w:rsid w:val="001A606F"/>
    <w:rsid w:val="001C4A06"/>
    <w:rsid w:val="00211AC6"/>
    <w:rsid w:val="00221C23"/>
    <w:rsid w:val="002228B0"/>
    <w:rsid w:val="00222CE6"/>
    <w:rsid w:val="0025062F"/>
    <w:rsid w:val="002564FC"/>
    <w:rsid w:val="0025688E"/>
    <w:rsid w:val="00264715"/>
    <w:rsid w:val="002729DC"/>
    <w:rsid w:val="00281F8E"/>
    <w:rsid w:val="002F7AB2"/>
    <w:rsid w:val="003157C9"/>
    <w:rsid w:val="003552E1"/>
    <w:rsid w:val="00362149"/>
    <w:rsid w:val="00370C29"/>
    <w:rsid w:val="0038594B"/>
    <w:rsid w:val="003A3FB3"/>
    <w:rsid w:val="003B70F2"/>
    <w:rsid w:val="003C0554"/>
    <w:rsid w:val="003E0ADC"/>
    <w:rsid w:val="003E5BA0"/>
    <w:rsid w:val="003E6E27"/>
    <w:rsid w:val="003F3E11"/>
    <w:rsid w:val="00403616"/>
    <w:rsid w:val="004322F3"/>
    <w:rsid w:val="00436C88"/>
    <w:rsid w:val="004404AC"/>
    <w:rsid w:val="0046154E"/>
    <w:rsid w:val="00462A3C"/>
    <w:rsid w:val="00490932"/>
    <w:rsid w:val="004956B8"/>
    <w:rsid w:val="00495FC0"/>
    <w:rsid w:val="00497878"/>
    <w:rsid w:val="004C0A42"/>
    <w:rsid w:val="005104EB"/>
    <w:rsid w:val="00514C29"/>
    <w:rsid w:val="00520AB0"/>
    <w:rsid w:val="00530D8E"/>
    <w:rsid w:val="00544388"/>
    <w:rsid w:val="005444AF"/>
    <w:rsid w:val="00547CE7"/>
    <w:rsid w:val="00551E0C"/>
    <w:rsid w:val="005C2820"/>
    <w:rsid w:val="005D3D7D"/>
    <w:rsid w:val="005E1160"/>
    <w:rsid w:val="005E4B98"/>
    <w:rsid w:val="005F527A"/>
    <w:rsid w:val="00600A4C"/>
    <w:rsid w:val="0060219A"/>
    <w:rsid w:val="00610817"/>
    <w:rsid w:val="006124A3"/>
    <w:rsid w:val="006464F0"/>
    <w:rsid w:val="00676179"/>
    <w:rsid w:val="00677E40"/>
    <w:rsid w:val="00687E6C"/>
    <w:rsid w:val="006A1016"/>
    <w:rsid w:val="006B1E87"/>
    <w:rsid w:val="006B41D9"/>
    <w:rsid w:val="006C6554"/>
    <w:rsid w:val="006D2B56"/>
    <w:rsid w:val="006E57F7"/>
    <w:rsid w:val="006E5BE7"/>
    <w:rsid w:val="00711710"/>
    <w:rsid w:val="007371F2"/>
    <w:rsid w:val="00745D77"/>
    <w:rsid w:val="00750173"/>
    <w:rsid w:val="00750FCC"/>
    <w:rsid w:val="00752B35"/>
    <w:rsid w:val="00761B77"/>
    <w:rsid w:val="00770107"/>
    <w:rsid w:val="0077561A"/>
    <w:rsid w:val="00782AF0"/>
    <w:rsid w:val="00783A5B"/>
    <w:rsid w:val="0078456A"/>
    <w:rsid w:val="007D7104"/>
    <w:rsid w:val="007E6A39"/>
    <w:rsid w:val="007E7254"/>
    <w:rsid w:val="008005A1"/>
    <w:rsid w:val="00824384"/>
    <w:rsid w:val="00851020"/>
    <w:rsid w:val="008638A8"/>
    <w:rsid w:val="00864690"/>
    <w:rsid w:val="008725D8"/>
    <w:rsid w:val="00884F48"/>
    <w:rsid w:val="0088507B"/>
    <w:rsid w:val="0088641F"/>
    <w:rsid w:val="0089515D"/>
    <w:rsid w:val="008A7B58"/>
    <w:rsid w:val="008B219A"/>
    <w:rsid w:val="008B70B1"/>
    <w:rsid w:val="008B7C32"/>
    <w:rsid w:val="008C2739"/>
    <w:rsid w:val="008F304D"/>
    <w:rsid w:val="009047DF"/>
    <w:rsid w:val="0090644A"/>
    <w:rsid w:val="00915786"/>
    <w:rsid w:val="009412BE"/>
    <w:rsid w:val="009419DE"/>
    <w:rsid w:val="009708AE"/>
    <w:rsid w:val="00987A3D"/>
    <w:rsid w:val="009B3E02"/>
    <w:rsid w:val="009B7B35"/>
    <w:rsid w:val="009B7B5B"/>
    <w:rsid w:val="009D0994"/>
    <w:rsid w:val="009D60E3"/>
    <w:rsid w:val="009F0EBB"/>
    <w:rsid w:val="00A019C2"/>
    <w:rsid w:val="00A0472E"/>
    <w:rsid w:val="00A06571"/>
    <w:rsid w:val="00A07B45"/>
    <w:rsid w:val="00A10C40"/>
    <w:rsid w:val="00A2675D"/>
    <w:rsid w:val="00A3727E"/>
    <w:rsid w:val="00A41367"/>
    <w:rsid w:val="00A50588"/>
    <w:rsid w:val="00A938BE"/>
    <w:rsid w:val="00A9703E"/>
    <w:rsid w:val="00AA485D"/>
    <w:rsid w:val="00AB328B"/>
    <w:rsid w:val="00AE053B"/>
    <w:rsid w:val="00AE223B"/>
    <w:rsid w:val="00AE491A"/>
    <w:rsid w:val="00AF191E"/>
    <w:rsid w:val="00AF5079"/>
    <w:rsid w:val="00B0222E"/>
    <w:rsid w:val="00B02FCC"/>
    <w:rsid w:val="00B066A0"/>
    <w:rsid w:val="00B43937"/>
    <w:rsid w:val="00B50ED1"/>
    <w:rsid w:val="00B54FB6"/>
    <w:rsid w:val="00B5698F"/>
    <w:rsid w:val="00B72EE4"/>
    <w:rsid w:val="00B8120D"/>
    <w:rsid w:val="00B82424"/>
    <w:rsid w:val="00BE3A21"/>
    <w:rsid w:val="00BE4016"/>
    <w:rsid w:val="00BF1F14"/>
    <w:rsid w:val="00BF2068"/>
    <w:rsid w:val="00BF7318"/>
    <w:rsid w:val="00C00E09"/>
    <w:rsid w:val="00C2177E"/>
    <w:rsid w:val="00C87756"/>
    <w:rsid w:val="00C911AE"/>
    <w:rsid w:val="00C95AAA"/>
    <w:rsid w:val="00CB095F"/>
    <w:rsid w:val="00CC04F1"/>
    <w:rsid w:val="00CE1FE1"/>
    <w:rsid w:val="00CE3081"/>
    <w:rsid w:val="00D10C46"/>
    <w:rsid w:val="00D15F74"/>
    <w:rsid w:val="00D30D0C"/>
    <w:rsid w:val="00D41285"/>
    <w:rsid w:val="00D4601E"/>
    <w:rsid w:val="00D71BEA"/>
    <w:rsid w:val="00D76589"/>
    <w:rsid w:val="00D77748"/>
    <w:rsid w:val="00D92AFA"/>
    <w:rsid w:val="00DE1869"/>
    <w:rsid w:val="00E158A9"/>
    <w:rsid w:val="00E40D26"/>
    <w:rsid w:val="00E53EBB"/>
    <w:rsid w:val="00E67346"/>
    <w:rsid w:val="00E82D20"/>
    <w:rsid w:val="00E83933"/>
    <w:rsid w:val="00E873BC"/>
    <w:rsid w:val="00E92B8B"/>
    <w:rsid w:val="00EA0EC9"/>
    <w:rsid w:val="00EB04D7"/>
    <w:rsid w:val="00ED02A2"/>
    <w:rsid w:val="00ED3AF5"/>
    <w:rsid w:val="00EF7529"/>
    <w:rsid w:val="00F05471"/>
    <w:rsid w:val="00F17A94"/>
    <w:rsid w:val="00F17EAE"/>
    <w:rsid w:val="00F44150"/>
    <w:rsid w:val="00F46A19"/>
    <w:rsid w:val="00F6235A"/>
    <w:rsid w:val="00F73120"/>
    <w:rsid w:val="00F7477C"/>
    <w:rsid w:val="00F927EF"/>
    <w:rsid w:val="00FB5648"/>
    <w:rsid w:val="00FB62C9"/>
    <w:rsid w:val="00FD14EE"/>
    <w:rsid w:val="00FD3B53"/>
    <w:rsid w:val="00FE00E5"/>
    <w:rsid w:val="00FF0D58"/>
    <w:rsid w:val="00FF15BB"/>
    <w:rsid w:val="00FF3FA0"/>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298F4D6F"/>
  <w15:docId w15:val="{4A47B93D-4331-4AFA-9863-964B0F06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23B"/>
    <w:rPr>
      <w:sz w:val="24"/>
      <w:szCs w:val="24"/>
    </w:rPr>
  </w:style>
  <w:style w:type="paragraph" w:styleId="Heading2">
    <w:name w:val="heading 2"/>
    <w:basedOn w:val="Normal"/>
    <w:next w:val="Normal"/>
    <w:qFormat/>
    <w:rsid w:val="00AE223B"/>
    <w:pPr>
      <w:keepNext/>
      <w:outlineLvl w:val="1"/>
    </w:pPr>
    <w:rPr>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23B"/>
    <w:pPr>
      <w:tabs>
        <w:tab w:val="center" w:pos="4320"/>
        <w:tab w:val="right" w:pos="8640"/>
      </w:tabs>
    </w:pPr>
  </w:style>
  <w:style w:type="paragraph" w:styleId="Footer">
    <w:name w:val="footer"/>
    <w:basedOn w:val="Normal"/>
    <w:rsid w:val="00AE223B"/>
    <w:pPr>
      <w:tabs>
        <w:tab w:val="center" w:pos="4320"/>
        <w:tab w:val="right" w:pos="8640"/>
      </w:tabs>
    </w:pPr>
  </w:style>
  <w:style w:type="character" w:styleId="CommentReference">
    <w:name w:val="annotation reference"/>
    <w:basedOn w:val="DefaultParagraphFont"/>
    <w:semiHidden/>
    <w:rsid w:val="00915786"/>
    <w:rPr>
      <w:sz w:val="16"/>
      <w:szCs w:val="16"/>
    </w:rPr>
  </w:style>
  <w:style w:type="paragraph" w:styleId="BodyText">
    <w:name w:val="Body Text"/>
    <w:basedOn w:val="Normal"/>
    <w:rsid w:val="00AE223B"/>
    <w:rPr>
      <w:sz w:val="22"/>
      <w:szCs w:val="20"/>
    </w:rPr>
  </w:style>
  <w:style w:type="paragraph" w:styleId="BodyText2">
    <w:name w:val="Body Text 2"/>
    <w:basedOn w:val="Normal"/>
    <w:rsid w:val="00AE223B"/>
    <w:pPr>
      <w:spacing w:after="120" w:line="480" w:lineRule="auto"/>
    </w:pPr>
  </w:style>
  <w:style w:type="paragraph" w:styleId="BalloonText">
    <w:name w:val="Balloon Text"/>
    <w:basedOn w:val="Normal"/>
    <w:semiHidden/>
    <w:rsid w:val="00AE223B"/>
    <w:rPr>
      <w:rFonts w:ascii="Tahoma" w:hAnsi="Tahoma" w:cs="Tahoma"/>
      <w:sz w:val="16"/>
      <w:szCs w:val="16"/>
    </w:rPr>
  </w:style>
  <w:style w:type="paragraph" w:styleId="BodyTextIndent3">
    <w:name w:val="Body Text Indent 3"/>
    <w:basedOn w:val="Normal"/>
    <w:rsid w:val="00AE223B"/>
    <w:pPr>
      <w:spacing w:after="120"/>
      <w:ind w:left="360"/>
    </w:pPr>
    <w:rPr>
      <w:sz w:val="16"/>
      <w:szCs w:val="16"/>
    </w:rPr>
  </w:style>
  <w:style w:type="paragraph" w:styleId="BodyTextIndent2">
    <w:name w:val="Body Text Indent 2"/>
    <w:basedOn w:val="Normal"/>
    <w:rsid w:val="00AE223B"/>
    <w:pPr>
      <w:spacing w:after="120" w:line="480" w:lineRule="auto"/>
      <w:ind w:left="360"/>
    </w:pPr>
  </w:style>
  <w:style w:type="paragraph" w:styleId="FootnoteText">
    <w:name w:val="footnote text"/>
    <w:basedOn w:val="Normal"/>
    <w:link w:val="FootnoteTextChar"/>
    <w:uiPriority w:val="99"/>
    <w:semiHidden/>
    <w:rsid w:val="005F527A"/>
    <w:rPr>
      <w:sz w:val="20"/>
      <w:szCs w:val="20"/>
    </w:rPr>
  </w:style>
  <w:style w:type="character" w:styleId="FootnoteReference">
    <w:name w:val="footnote reference"/>
    <w:basedOn w:val="DefaultParagraphFont"/>
    <w:semiHidden/>
    <w:rsid w:val="00090CDC"/>
    <w:rPr>
      <w:rFonts w:ascii="Times New Roman" w:hAnsi="Times New Roman"/>
      <w:sz w:val="20"/>
      <w:vertAlign w:val="superscript"/>
    </w:rPr>
  </w:style>
  <w:style w:type="paragraph" w:styleId="CommentText">
    <w:name w:val="annotation text"/>
    <w:basedOn w:val="Normal"/>
    <w:semiHidden/>
    <w:rsid w:val="00915786"/>
    <w:rPr>
      <w:sz w:val="20"/>
      <w:szCs w:val="20"/>
    </w:rPr>
  </w:style>
  <w:style w:type="paragraph" w:styleId="CommentSubject">
    <w:name w:val="annotation subject"/>
    <w:basedOn w:val="CommentText"/>
    <w:next w:val="CommentText"/>
    <w:semiHidden/>
    <w:rsid w:val="00915786"/>
    <w:rPr>
      <w:b/>
      <w:bCs/>
    </w:rPr>
  </w:style>
  <w:style w:type="character" w:styleId="PageNumber">
    <w:name w:val="page number"/>
    <w:basedOn w:val="DefaultParagraphFont"/>
    <w:rsid w:val="00851020"/>
  </w:style>
  <w:style w:type="paragraph" w:styleId="Revision">
    <w:name w:val="Revision"/>
    <w:hidden/>
    <w:uiPriority w:val="99"/>
    <w:semiHidden/>
    <w:rsid w:val="00551E0C"/>
    <w:rPr>
      <w:sz w:val="24"/>
      <w:szCs w:val="24"/>
    </w:rPr>
  </w:style>
  <w:style w:type="character" w:customStyle="1" w:styleId="FootnoteTextChar">
    <w:name w:val="Footnote Text Char"/>
    <w:link w:val="FootnoteText"/>
    <w:uiPriority w:val="99"/>
    <w:semiHidden/>
    <w:rsid w:val="005F527A"/>
  </w:style>
  <w:style w:type="paragraph" w:styleId="ListParagraph">
    <w:name w:val="List Paragraph"/>
    <w:basedOn w:val="Normal"/>
    <w:uiPriority w:val="34"/>
    <w:qFormat/>
    <w:rsid w:val="0088507B"/>
    <w:pPr>
      <w:ind w:left="720"/>
    </w:pPr>
  </w:style>
  <w:style w:type="character" w:customStyle="1" w:styleId="normaltextrun">
    <w:name w:val="normaltextrun"/>
    <w:basedOn w:val="DefaultParagraphFont"/>
    <w:rsid w:val="006E57F7"/>
  </w:style>
  <w:style w:type="character" w:customStyle="1" w:styleId="eop">
    <w:name w:val="eop"/>
    <w:basedOn w:val="DefaultParagraphFont"/>
    <w:rsid w:val="006E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47CA-8A2D-4D0E-81C2-AA4305C1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979</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CMS UM TAT Standards</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UM TAT Standards</dc:title>
  <dc:subject/>
  <dc:creator>ICE CMS SDS Team</dc:creator>
  <cp:keywords/>
  <dc:description/>
  <cp:lastModifiedBy>Oriana Tuitama</cp:lastModifiedBy>
  <cp:revision>11</cp:revision>
  <cp:lastPrinted>2022-09-17T01:29:00Z</cp:lastPrinted>
  <dcterms:created xsi:type="dcterms:W3CDTF">2022-02-07T21:40:00Z</dcterms:created>
  <dcterms:modified xsi:type="dcterms:W3CDTF">2022-09-17T01:30:00Z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